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A702" w14:textId="78661B6C" w:rsidR="009C540C" w:rsidRPr="009C540C" w:rsidRDefault="009C540C" w:rsidP="009C540C">
      <w:pPr>
        <w:spacing w:after="0" w:line="450" w:lineRule="atLeast"/>
        <w:outlineLvl w:val="0"/>
        <w:rPr>
          <w:rFonts w:ascii="Arial" w:eastAsia="Times New Roman" w:hAnsi="Arial" w:cs="Arial"/>
          <w:b/>
          <w:bCs/>
          <w:color w:val="0A0203"/>
          <w:kern w:val="36"/>
          <w:sz w:val="42"/>
          <w:szCs w:val="42"/>
          <w:lang w:eastAsia="en-GB"/>
        </w:rPr>
      </w:pPr>
      <w:r w:rsidRPr="009C540C">
        <w:rPr>
          <w:rFonts w:ascii="Arial" w:eastAsia="Times New Roman" w:hAnsi="Arial" w:cs="Arial"/>
          <w:b/>
          <w:bCs/>
          <w:color w:val="0A0203"/>
          <w:kern w:val="36"/>
          <w:sz w:val="42"/>
          <w:szCs w:val="42"/>
          <w:lang w:eastAsia="en-GB"/>
        </w:rPr>
        <w:t xml:space="preserve">‘Challenging’ settlement delivers 2.4% boost </w:t>
      </w:r>
      <w:r w:rsidRPr="009C540C">
        <w:rPr>
          <w:rFonts w:ascii="Arial" w:eastAsia="Times New Roman" w:hAnsi="Arial" w:cs="Arial"/>
          <w:color w:val="4C4C4C"/>
          <w:sz w:val="21"/>
          <w:szCs w:val="21"/>
          <w:lang w:eastAsia="en-GB"/>
        </w:rPr>
        <w:t xml:space="preserve"> </w:t>
      </w:r>
      <w:bookmarkStart w:id="0" w:name="_GoBack"/>
      <w:bookmarkEnd w:id="0"/>
    </w:p>
    <w:p w14:paraId="3041BED6" w14:textId="3C17073F" w:rsidR="009C540C" w:rsidRPr="009C540C" w:rsidRDefault="009C540C" w:rsidP="009C540C">
      <w:pPr>
        <w:spacing w:after="120" w:line="348" w:lineRule="atLeast"/>
        <w:jc w:val="both"/>
        <w:rPr>
          <w:rFonts w:ascii="Georgia" w:eastAsia="Times New Roman" w:hAnsi="Georgia" w:cs="Arial"/>
          <w:b/>
          <w:sz w:val="27"/>
          <w:szCs w:val="27"/>
          <w:lang w:eastAsia="en-GB"/>
        </w:rPr>
      </w:pPr>
      <w:r w:rsidRPr="009C540C">
        <w:rPr>
          <w:rFonts w:ascii="Georgia" w:eastAsia="Times New Roman" w:hAnsi="Georgia" w:cs="Arial"/>
          <w:b/>
          <w:sz w:val="27"/>
          <w:szCs w:val="27"/>
          <w:lang w:eastAsia="en-GB"/>
        </w:rPr>
        <w:t>Councils’ spending power will rise to £46.4bn next year, a real-terms increase, local government secretary James Brokenshire revealed as he published the provisional settlement today.</w:t>
      </w:r>
      <w:r>
        <w:rPr>
          <w:rFonts w:ascii="Georgia" w:eastAsia="Times New Roman" w:hAnsi="Georgia" w:cs="Arial"/>
          <w:b/>
          <w:sz w:val="27"/>
          <w:szCs w:val="27"/>
          <w:lang w:eastAsia="en-GB"/>
        </w:rPr>
        <w:t xml:space="preserve"> </w:t>
      </w:r>
      <w:r w:rsidRPr="009C540C">
        <w:rPr>
          <w:rFonts w:ascii="Georgia" w:eastAsia="Times New Roman" w:hAnsi="Georgia" w:cs="Arial"/>
          <w:b/>
          <w:lang w:eastAsia="en-GB"/>
        </w:rPr>
        <w:t>13.12.18</w:t>
      </w:r>
    </w:p>
    <w:p w14:paraId="012C48BF" w14:textId="486E6DDD" w:rsidR="009C540C" w:rsidRPr="009C540C" w:rsidRDefault="009C540C" w:rsidP="009C540C">
      <w:pPr>
        <w:spacing w:after="120" w:line="348" w:lineRule="atLeast"/>
        <w:jc w:val="both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The statement – </w:t>
      </w:r>
      <w:hyperlink r:id="rId5" w:tgtFrame="_blank" w:history="1">
        <w:r w:rsidRPr="009C540C">
          <w:rPr>
            <w:rFonts w:ascii="Arial" w:eastAsia="Times New Roman" w:hAnsi="Arial" w:cs="Arial"/>
            <w:b/>
            <w:sz w:val="16"/>
            <w:szCs w:val="16"/>
            <w:lang w:eastAsia="en-GB"/>
          </w:rPr>
          <w:t>postponed by a week to accommodate parliamentary Brexit debates</w:t>
        </w:r>
      </w:hyperlink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softHyphen/>
        <w:t>– set out a 2.8% cash increase for local government.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“It has been challenging,” Brokenshire told MPs.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“I am in no doubt about how challenging it has been for councils to drive efficiencies as they contributed to helping rebuild our economy and tackling the deficit.”</w:t>
      </w:r>
    </w:p>
    <w:p w14:paraId="6DE21DA2" w14:textId="190BC328" w:rsidR="009C540C" w:rsidRPr="009C540C" w:rsidRDefault="009C540C" w:rsidP="009C540C">
      <w:pPr>
        <w:spacing w:after="120" w:line="348" w:lineRule="atLeast"/>
        <w:jc w:val="both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Of the additional </w:t>
      </w:r>
      <w:hyperlink r:id="rId6" w:tgtFrame="_blank" w:history="1">
        <w:r w:rsidRPr="009C540C">
          <w:rPr>
            <w:rFonts w:ascii="Arial" w:eastAsia="Times New Roman" w:hAnsi="Arial" w:cs="Arial"/>
            <w:b/>
            <w:sz w:val="16"/>
            <w:szCs w:val="16"/>
            <w:lang w:eastAsia="en-GB"/>
          </w:rPr>
          <w:t>£650m announced for social care in the autumn Budget</w:t>
        </w:r>
      </w:hyperlink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, Brokenshire said £240m would be focused on winter pressures with the remainder to be used flexibly, on either adult or children’s services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.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Core council tax will be able rise by up to 3% again and council will be able to draw on the adult social care precept. However, any “excessive rises” would have to be approved in a local referendum, he said.</w:t>
      </w:r>
    </w:p>
    <w:p w14:paraId="54EC7AC9" w14:textId="0C742F0B" w:rsidR="009C540C" w:rsidRPr="009C540C" w:rsidRDefault="009C540C" w:rsidP="009C540C">
      <w:pPr>
        <w:spacing w:after="120" w:line="348" w:lineRule="atLeast"/>
        <w:jc w:val="both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The local government secretary also announced a £16m increase to the rural services grant to maintain funding at last year’s level and recognise the additional costs of providing services in rural communities.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And, £20m was committed to maintain the new homes bonus baseline at 0.4% “to ensure we reward councils for delivering the homes we need”.</w:t>
      </w:r>
    </w:p>
    <w:p w14:paraId="2CE59238" w14:textId="2655A844" w:rsidR="009C540C" w:rsidRPr="009C540C" w:rsidRDefault="009C540C" w:rsidP="009C540C">
      <w:pPr>
        <w:spacing w:after="120" w:line="348" w:lineRule="atLeast"/>
        <w:jc w:val="both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Brokenshire announced his decision on how to treat ‘negative revenue support grant’ following consultations.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“I am pleased to announce that we intend to directly eliminate the £152.9m negative RSG in 2019-20 using forgone business rates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.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This will prevent any local authority being subject to downward adjustment to their business rates tariffs and top ups that could act as a disincentive to growth.”</w:t>
      </w:r>
    </w:p>
    <w:p w14:paraId="440904BF" w14:textId="0C2E3135" w:rsidR="009C540C" w:rsidRPr="009C540C" w:rsidRDefault="009C540C" w:rsidP="009C540C">
      <w:pPr>
        <w:spacing w:after="120" w:line="348" w:lineRule="atLeast"/>
        <w:jc w:val="both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A further 15 councils, mainly counties, will take part in the 75% business rates retention pilots. These included troubled </w:t>
      </w:r>
      <w:hyperlink r:id="rId7" w:tgtFrame="_blank" w:history="1">
        <w:r w:rsidRPr="009C540C">
          <w:rPr>
            <w:rFonts w:ascii="Arial" w:eastAsia="Times New Roman" w:hAnsi="Arial" w:cs="Arial"/>
            <w:b/>
            <w:sz w:val="16"/>
            <w:szCs w:val="16"/>
            <w:lang w:eastAsia="en-GB"/>
          </w:rPr>
          <w:t>Northamptonshire County Council</w:t>
        </w:r>
      </w:hyperlink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.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Increased growth in business rates income has generated a surplus business rates levy account in 2018-19 and Brokenshire said: “We are proposing to distribute £180m of levy surplus to all councils based on need.”</w:t>
      </w:r>
    </w:p>
    <w:p w14:paraId="0646ECED" w14:textId="482E7ACD" w:rsidR="009C540C" w:rsidRPr="009C540C" w:rsidRDefault="009C540C" w:rsidP="009C540C">
      <w:pPr>
        <w:spacing w:after="120" w:line="348" w:lineRule="atLeast"/>
        <w:jc w:val="both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The secretary of state also highlighted the </w:t>
      </w:r>
      <w:hyperlink r:id="rId8" w:tgtFrame="_blank" w:history="1">
        <w:r w:rsidRPr="009C540C">
          <w:rPr>
            <w:rFonts w:ascii="Arial" w:eastAsia="Times New Roman" w:hAnsi="Arial" w:cs="Arial"/>
            <w:b/>
            <w:sz w:val="16"/>
            <w:szCs w:val="16"/>
            <w:lang w:eastAsia="en-GB"/>
          </w:rPr>
          <w:t>issues around councils’ commercial activities</w:t>
        </w:r>
      </w:hyperlink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.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“I share the concerns of CIPFA and others about the risks that these local authorities are exposing themselves and taxpayers to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.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We are considering with [the] Treasury what further intervention may be required.”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In October, CIPFA said it would publish </w:t>
      </w:r>
      <w:hyperlink r:id="rId9" w:history="1">
        <w:r w:rsidRPr="009C540C">
          <w:rPr>
            <w:rFonts w:ascii="Arial" w:eastAsia="Times New Roman" w:hAnsi="Arial" w:cs="Arial"/>
            <w:b/>
            <w:sz w:val="16"/>
            <w:szCs w:val="16"/>
            <w:lang w:eastAsia="en-GB"/>
          </w:rPr>
          <w:t>fresh guidance on borrowing to invest in commercial property.</w:t>
        </w:r>
      </w:hyperlink>
    </w:p>
    <w:p w14:paraId="2927524B" w14:textId="78FCECD7" w:rsidR="009C540C" w:rsidRPr="009C540C" w:rsidRDefault="009C540C" w:rsidP="009C540C">
      <w:pPr>
        <w:spacing w:after="120" w:line="348" w:lineRule="atLeast"/>
        <w:jc w:val="both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Two further MHCLG consultations were also announced: one on reforms to the business rate retention system and another on </w:t>
      </w:r>
      <w:hyperlink r:id="rId10" w:tgtFrame="_blank" w:history="1">
        <w:r w:rsidRPr="009C540C">
          <w:rPr>
            <w:rFonts w:ascii="Arial" w:eastAsia="Times New Roman" w:hAnsi="Arial" w:cs="Arial"/>
            <w:b/>
            <w:sz w:val="16"/>
            <w:szCs w:val="16"/>
            <w:lang w:eastAsia="en-GB"/>
          </w:rPr>
          <w:t>distributing funding through the Review of Relative Needs and Resource.</w:t>
        </w:r>
      </w:hyperlink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“There is little doubt that the current funding formula needs fixing – and replacing with a robust straightforward approach where the link between local circumstances and resources allocated is clear.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2019 was shaping up to be a </w:t>
      </w:r>
      <w:r>
        <w:rPr>
          <w:rFonts w:ascii="Arial" w:eastAsia="Times New Roman" w:hAnsi="Arial" w:cs="Arial"/>
          <w:b/>
          <w:sz w:val="16"/>
          <w:szCs w:val="16"/>
          <w:lang w:eastAsia="en-GB"/>
        </w:rPr>
        <w:t>‘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big moment</w:t>
      </w:r>
      <w:r>
        <w:rPr>
          <w:rFonts w:ascii="Arial" w:eastAsia="Times New Roman" w:hAnsi="Arial" w:cs="Arial"/>
          <w:b/>
          <w:sz w:val="16"/>
          <w:szCs w:val="16"/>
          <w:lang w:eastAsia="en-GB"/>
        </w:rPr>
        <w:t>’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for local government</w:t>
      </w:r>
      <w:r>
        <w:rPr>
          <w:rFonts w:ascii="Arial" w:eastAsia="Times New Roman" w:hAnsi="Arial" w:cs="Arial"/>
          <w:b/>
          <w:sz w:val="16"/>
          <w:szCs w:val="16"/>
          <w:lang w:eastAsia="en-GB"/>
        </w:rPr>
        <w:t>”</w:t>
      </w:r>
    </w:p>
    <w:p w14:paraId="66D8E064" w14:textId="14BB0EFC" w:rsidR="009C540C" w:rsidRPr="009C540C" w:rsidRDefault="009C540C" w:rsidP="009C540C">
      <w:pPr>
        <w:spacing w:after="120" w:line="348" w:lineRule="atLeast"/>
        <w:jc w:val="both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Responding to the settlement, Lord Porter, chair of the Local Government Association, said: “Next year will continue to be hugely challenging for all councils, who still face an overall funding gap of £3.2bn 2019-20.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It is therefore disappointing that the government has not used the settlement to provide further desperately-needed resources for councils next year.”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He called for next month’s final settlement to include </w:t>
      </w:r>
      <w:r>
        <w:rPr>
          <w:rFonts w:ascii="Arial" w:eastAsia="Times New Roman" w:hAnsi="Arial" w:cs="Arial"/>
          <w:b/>
          <w:sz w:val="16"/>
          <w:szCs w:val="16"/>
          <w:lang w:eastAsia="en-GB"/>
        </w:rPr>
        <w:t>‘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further resources</w:t>
      </w:r>
      <w:r>
        <w:rPr>
          <w:rFonts w:ascii="Arial" w:eastAsia="Times New Roman" w:hAnsi="Arial" w:cs="Arial"/>
          <w:b/>
          <w:sz w:val="16"/>
          <w:szCs w:val="16"/>
          <w:lang w:eastAsia="en-GB"/>
        </w:rPr>
        <w:t>’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to protect local services.</w:t>
      </w:r>
    </w:p>
    <w:p w14:paraId="29253E09" w14:textId="77777777" w:rsidR="009C540C" w:rsidRPr="009C540C" w:rsidRDefault="009C540C" w:rsidP="009C540C">
      <w:pPr>
        <w:spacing w:before="100" w:beforeAutospacing="1" w:after="0" w:line="210" w:lineRule="atLeast"/>
        <w:jc w:val="both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Dominic Brady </w:t>
      </w:r>
    </w:p>
    <w:p w14:paraId="1BBBE182" w14:textId="55A9F627" w:rsidR="009C540C" w:rsidRPr="009C540C" w:rsidRDefault="009C540C" w:rsidP="009C540C">
      <w:pPr>
        <w:spacing w:after="150" w:line="348" w:lineRule="atLeast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9C540C">
        <w:rPr>
          <w:rFonts w:ascii="Arial" w:eastAsia="Times New Roman" w:hAnsi="Arial" w:cs="Arial"/>
          <w:b/>
          <w:i/>
          <w:iCs/>
          <w:sz w:val="16"/>
          <w:szCs w:val="16"/>
          <w:lang w:eastAsia="en-GB"/>
        </w:rPr>
        <w:t xml:space="preserve">PF </w:t>
      </w:r>
      <w:r w:rsidRPr="009C540C">
        <w:rPr>
          <w:rFonts w:ascii="Arial" w:eastAsia="Times New Roman" w:hAnsi="Arial" w:cs="Arial"/>
          <w:b/>
          <w:sz w:val="16"/>
          <w:szCs w:val="16"/>
          <w:lang w:eastAsia="en-GB"/>
        </w:rPr>
        <w:t>reporter</w:t>
      </w:r>
    </w:p>
    <w:sectPr w:rsidR="009C540C" w:rsidRPr="009C5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7DFF"/>
    <w:multiLevelType w:val="multilevel"/>
    <w:tmpl w:val="D58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0C"/>
    <w:rsid w:val="009C540C"/>
    <w:rsid w:val="00B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6403"/>
  <w15:chartTrackingRefBased/>
  <w15:docId w15:val="{18289DCC-6F9B-4960-8418-1A8F6B5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2491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2333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2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716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4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4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0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9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8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finance.co.uk/feature/2018/11/eyes-money-councils-turning-commercial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blicfinance.co.uk/news/2018/12/northants-budgets-sets-out-savings-plans-and-council-tax-rise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finance.co.uk/news/2018/10/hammond-hands-out-billions-saying-austerity-ending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ublicfinance.co.uk/news/2018/12/challenging-settlement-delivers-24-boost-local-government" TargetMode="External"/><Relationship Id="rId10" Type="http://schemas.openxmlformats.org/officeDocument/2006/relationships/hyperlink" Target="https://www.publicfinance.co.uk/feature/2018/10/cutting-edge-views-considering-fair-funding-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finance.co.uk/news/2018/10/cipfa-warns-councils-over-serious-commercial-activity-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Flexman</dc:creator>
  <cp:keywords/>
  <dc:description/>
  <cp:lastModifiedBy>Graham Flexman</cp:lastModifiedBy>
  <cp:revision>1</cp:revision>
  <dcterms:created xsi:type="dcterms:W3CDTF">2018-12-13T14:26:00Z</dcterms:created>
  <dcterms:modified xsi:type="dcterms:W3CDTF">2018-12-13T14:35:00Z</dcterms:modified>
</cp:coreProperties>
</file>