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4290" w14:textId="32945558" w:rsidR="00582CFB" w:rsidRPr="00582CFB" w:rsidRDefault="00582CFB" w:rsidP="00582CFB">
      <w:pPr>
        <w:spacing w:after="120" w:line="450" w:lineRule="atLeast"/>
        <w:outlineLvl w:val="0"/>
        <w:rPr>
          <w:rFonts w:ascii="Arial" w:eastAsia="Times New Roman" w:hAnsi="Arial" w:cs="Arial"/>
          <w:b/>
          <w:bCs/>
          <w:color w:val="0A0203"/>
          <w:kern w:val="36"/>
          <w:sz w:val="42"/>
          <w:szCs w:val="42"/>
          <w:lang w:eastAsia="en-GB"/>
        </w:rPr>
      </w:pPr>
      <w:r w:rsidRPr="00582CFB">
        <w:rPr>
          <w:rFonts w:ascii="Arial" w:eastAsia="Times New Roman" w:hAnsi="Arial" w:cs="Arial"/>
          <w:b/>
          <w:bCs/>
          <w:color w:val="0A0203"/>
          <w:kern w:val="36"/>
          <w:sz w:val="42"/>
          <w:szCs w:val="42"/>
          <w:lang w:eastAsia="en-GB"/>
        </w:rPr>
        <w:t>CIPFA warns councils o</w:t>
      </w:r>
      <w:r>
        <w:rPr>
          <w:rFonts w:ascii="Arial" w:eastAsia="Times New Roman" w:hAnsi="Arial" w:cs="Arial"/>
          <w:b/>
          <w:bCs/>
          <w:color w:val="0A0203"/>
          <w:kern w:val="36"/>
          <w:sz w:val="42"/>
          <w:szCs w:val="42"/>
          <w:lang w:eastAsia="en-GB"/>
        </w:rPr>
        <w:t>n</w:t>
      </w:r>
      <w:r w:rsidRPr="00582CFB">
        <w:rPr>
          <w:rFonts w:ascii="Arial" w:eastAsia="Times New Roman" w:hAnsi="Arial" w:cs="Arial"/>
          <w:b/>
          <w:bCs/>
          <w:color w:val="0A0203"/>
          <w:kern w:val="36"/>
          <w:sz w:val="42"/>
          <w:szCs w:val="42"/>
          <w:lang w:eastAsia="en-GB"/>
        </w:rPr>
        <w:t xml:space="preserve"> commercial activity</w:t>
      </w:r>
    </w:p>
    <w:p w14:paraId="48439960" w14:textId="77777777" w:rsidR="00582CFB" w:rsidRPr="00582CFB" w:rsidRDefault="00582CFB" w:rsidP="00582CFB">
      <w:pPr>
        <w:spacing w:after="120" w:line="348" w:lineRule="atLeast"/>
        <w:rPr>
          <w:rFonts w:ascii="Merriweather" w:eastAsia="Times New Roman" w:hAnsi="Merriweather" w:cs="Times New Roman"/>
          <w:b/>
          <w:sz w:val="27"/>
          <w:szCs w:val="27"/>
          <w:lang w:eastAsia="en-GB"/>
        </w:rPr>
      </w:pPr>
      <w:r w:rsidRPr="00582CFB">
        <w:rPr>
          <w:rFonts w:ascii="Merriweather" w:eastAsia="Times New Roman" w:hAnsi="Merriweather" w:cs="Times New Roman"/>
          <w:b/>
          <w:sz w:val="27"/>
          <w:szCs w:val="27"/>
          <w:lang w:eastAsia="en-GB"/>
        </w:rPr>
        <w:t>CIPFA is to work on fresh guidance over concerns councils in England are putting public funds at “unnecessary or unquantified risk” when borrowing to invest in commercial property.</w:t>
      </w:r>
    </w:p>
    <w:p w14:paraId="4D2DB1EF" w14:textId="2FF5D5C2" w:rsidR="00582CFB" w:rsidRPr="00582CFB" w:rsidRDefault="00582CFB" w:rsidP="00582CFB">
      <w:pPr>
        <w:spacing w:after="120" w:line="348" w:lineRule="atLeast"/>
        <w:jc w:val="both"/>
        <w:rPr>
          <w:rFonts w:ascii="Arial" w:eastAsia="Times New Roman" w:hAnsi="Arial" w:cs="Arial"/>
          <w:b/>
          <w:sz w:val="16"/>
          <w:szCs w:val="16"/>
          <w:lang w:eastAsia="en-GB"/>
        </w:rPr>
      </w:pPr>
      <w:r w:rsidRPr="00582CFB">
        <w:rPr>
          <w:rFonts w:ascii="Arial" w:eastAsia="Times New Roman" w:hAnsi="Arial" w:cs="Arial"/>
          <w:b/>
          <w:sz w:val="16"/>
          <w:szCs w:val="16"/>
          <w:lang w:eastAsia="en-GB"/>
        </w:rPr>
        <w:t>In a statement tod</w:t>
      </w:r>
      <w:r>
        <w:rPr>
          <w:rFonts w:ascii="Arial" w:eastAsia="Times New Roman" w:hAnsi="Arial" w:cs="Arial"/>
          <w:b/>
          <w:sz w:val="16"/>
          <w:szCs w:val="16"/>
          <w:lang w:eastAsia="en-GB"/>
        </w:rPr>
        <w:t>ay</w:t>
      </w:r>
      <w:r w:rsidRPr="00582CFB">
        <w:rPr>
          <w:rFonts w:ascii="Arial" w:eastAsia="Times New Roman" w:hAnsi="Arial" w:cs="Arial"/>
          <w:b/>
          <w:sz w:val="16"/>
          <w:szCs w:val="16"/>
          <w:lang w:eastAsia="en-GB"/>
        </w:rPr>
        <w:t xml:space="preserve">, </w:t>
      </w:r>
      <w:r>
        <w:rPr>
          <w:rFonts w:ascii="Arial" w:eastAsia="Times New Roman" w:hAnsi="Arial" w:cs="Arial"/>
          <w:b/>
          <w:sz w:val="16"/>
          <w:szCs w:val="16"/>
          <w:lang w:eastAsia="en-GB"/>
        </w:rPr>
        <w:t>CIPFA</w:t>
      </w:r>
      <w:r w:rsidRPr="00582CFB">
        <w:rPr>
          <w:rFonts w:ascii="Arial" w:eastAsia="Times New Roman" w:hAnsi="Arial" w:cs="Arial"/>
          <w:b/>
          <w:sz w:val="16"/>
          <w:szCs w:val="16"/>
          <w:lang w:eastAsia="en-GB"/>
        </w:rPr>
        <w:t xml:space="preserve"> suggested local authorities were investing in commercial properties disproportionately to their resources.</w:t>
      </w:r>
      <w:r>
        <w:rPr>
          <w:rFonts w:ascii="Arial" w:eastAsia="Times New Roman" w:hAnsi="Arial" w:cs="Arial"/>
          <w:b/>
          <w:sz w:val="16"/>
          <w:szCs w:val="16"/>
          <w:lang w:eastAsia="en-GB"/>
        </w:rPr>
        <w:t xml:space="preserve"> </w:t>
      </w:r>
      <w:r w:rsidRPr="00582CFB">
        <w:rPr>
          <w:rFonts w:ascii="Arial" w:eastAsia="Times New Roman" w:hAnsi="Arial" w:cs="Arial"/>
          <w:b/>
          <w:sz w:val="16"/>
          <w:szCs w:val="16"/>
          <w:lang w:eastAsia="en-GB"/>
        </w:rPr>
        <w:t>This</w:t>
      </w:r>
      <w:r>
        <w:rPr>
          <w:rFonts w:ascii="Arial" w:eastAsia="Times New Roman" w:hAnsi="Arial" w:cs="Arial"/>
          <w:b/>
          <w:sz w:val="16"/>
          <w:szCs w:val="16"/>
          <w:lang w:eastAsia="en-GB"/>
        </w:rPr>
        <w:t xml:space="preserve"> </w:t>
      </w:r>
      <w:r w:rsidRPr="00582CFB">
        <w:rPr>
          <w:rFonts w:ascii="Arial" w:eastAsia="Times New Roman" w:hAnsi="Arial" w:cs="Arial"/>
          <w:b/>
          <w:sz w:val="16"/>
          <w:szCs w:val="16"/>
          <w:lang w:eastAsia="en-GB"/>
        </w:rPr>
        <w:t>would be against the requirements of the CIPFA’s Prudential Code and Treasury Management code, the joint statement from CIPFA chief executive Rob Whiteman and chair of CIPFA’s treasury and capital management panel Richard Paver, said.</w:t>
      </w:r>
    </w:p>
    <w:p w14:paraId="18D963B7" w14:textId="68868A33" w:rsidR="00582CFB" w:rsidRPr="00582CFB" w:rsidRDefault="00582CFB" w:rsidP="00582CFB">
      <w:pPr>
        <w:spacing w:after="120" w:line="348" w:lineRule="atLeast"/>
        <w:jc w:val="both"/>
        <w:rPr>
          <w:rFonts w:ascii="Arial" w:eastAsia="Times New Roman" w:hAnsi="Arial" w:cs="Arial"/>
          <w:b/>
          <w:sz w:val="16"/>
          <w:szCs w:val="16"/>
          <w:lang w:eastAsia="en-GB"/>
        </w:rPr>
      </w:pPr>
      <w:r w:rsidRPr="00582CFB">
        <w:rPr>
          <w:rFonts w:ascii="Arial" w:eastAsia="Times New Roman" w:hAnsi="Arial" w:cs="Arial"/>
          <w:b/>
          <w:sz w:val="16"/>
          <w:szCs w:val="16"/>
          <w:lang w:eastAsia="en-GB"/>
        </w:rPr>
        <w:t>Whiteman and Paver said that “in some cases these investments have been financed by borrowing” and CIPFA shared concerns there had been an “acceleration of the practice of borrowing to invest in commercial property”.</w:t>
      </w:r>
      <w:r>
        <w:rPr>
          <w:rFonts w:ascii="Arial" w:eastAsia="Times New Roman" w:hAnsi="Arial" w:cs="Arial"/>
          <w:b/>
          <w:sz w:val="16"/>
          <w:szCs w:val="16"/>
          <w:lang w:eastAsia="en-GB"/>
        </w:rPr>
        <w:t xml:space="preserve"> </w:t>
      </w:r>
      <w:r w:rsidRPr="00582CFB">
        <w:rPr>
          <w:rFonts w:ascii="Arial" w:eastAsia="Times New Roman" w:hAnsi="Arial" w:cs="Arial"/>
          <w:b/>
          <w:sz w:val="16"/>
          <w:szCs w:val="16"/>
          <w:lang w:eastAsia="en-GB"/>
        </w:rPr>
        <w:t>They warned councils the “prime policy objective of a local authority’s treasury management investment activities is the security of funds, and that a local authority should avoid exposing public funds to unnecessary or unquantified risks”.</w:t>
      </w:r>
    </w:p>
    <w:p w14:paraId="4F5D560C" w14:textId="0AC17074" w:rsidR="00582CFB" w:rsidRPr="00582CFB" w:rsidRDefault="00582CFB" w:rsidP="00582CFB">
      <w:pPr>
        <w:spacing w:after="120" w:line="348" w:lineRule="atLeast"/>
        <w:jc w:val="both"/>
        <w:rPr>
          <w:rFonts w:ascii="Arial" w:eastAsia="Times New Roman" w:hAnsi="Arial" w:cs="Arial"/>
          <w:b/>
          <w:sz w:val="16"/>
          <w:szCs w:val="16"/>
          <w:lang w:eastAsia="en-GB"/>
        </w:rPr>
      </w:pPr>
      <w:r w:rsidRPr="00582CFB">
        <w:rPr>
          <w:rFonts w:ascii="Arial" w:eastAsia="Times New Roman" w:hAnsi="Arial" w:cs="Arial"/>
          <w:b/>
          <w:sz w:val="16"/>
          <w:szCs w:val="16"/>
          <w:lang w:eastAsia="en-GB"/>
        </w:rPr>
        <w:t xml:space="preserve">CIPFA’s code and the government’s </w:t>
      </w:r>
      <w:hyperlink r:id="rId5" w:history="1">
        <w:r w:rsidRPr="00582CFB">
          <w:rPr>
            <w:rFonts w:ascii="Arial" w:eastAsia="Times New Roman" w:hAnsi="Arial" w:cs="Arial"/>
            <w:b/>
            <w:sz w:val="16"/>
            <w:szCs w:val="16"/>
            <w:lang w:eastAsia="en-GB"/>
          </w:rPr>
          <w:t>Statutory Guidance on Local Government Investments</w:t>
        </w:r>
      </w:hyperlink>
      <w:r w:rsidRPr="00582CFB">
        <w:rPr>
          <w:rFonts w:ascii="Arial" w:eastAsia="Times New Roman" w:hAnsi="Arial" w:cs="Arial"/>
          <w:b/>
          <w:sz w:val="16"/>
          <w:szCs w:val="16"/>
          <w:lang w:eastAsia="en-GB"/>
        </w:rPr>
        <w:t xml:space="preserve"> were “very clear that local authorities must not borrow more than or in advance of their needs purely in order to profit from the investment of the extra sums borrowed”.</w:t>
      </w:r>
      <w:r>
        <w:rPr>
          <w:rFonts w:ascii="Arial" w:eastAsia="Times New Roman" w:hAnsi="Arial" w:cs="Arial"/>
          <w:b/>
          <w:sz w:val="16"/>
          <w:szCs w:val="16"/>
          <w:lang w:eastAsia="en-GB"/>
        </w:rPr>
        <w:t xml:space="preserve"> </w:t>
      </w:r>
      <w:r w:rsidRPr="00582CFB">
        <w:rPr>
          <w:rFonts w:ascii="Arial" w:eastAsia="Times New Roman" w:hAnsi="Arial" w:cs="Arial"/>
          <w:b/>
          <w:sz w:val="16"/>
          <w:szCs w:val="16"/>
          <w:lang w:eastAsia="en-GB"/>
        </w:rPr>
        <w:t>The institute will “issue more guidance and will make it clear that these investment approaches are not consistent with the requirements of fiscal sustainability, prudence and affordability,” the statement said.</w:t>
      </w:r>
    </w:p>
    <w:p w14:paraId="0E42F277" w14:textId="2154164A" w:rsidR="00582CFB" w:rsidRPr="00582CFB" w:rsidRDefault="00582CFB" w:rsidP="00582CFB">
      <w:pPr>
        <w:spacing w:after="120" w:line="348" w:lineRule="atLeast"/>
        <w:jc w:val="both"/>
        <w:rPr>
          <w:rFonts w:ascii="Arial" w:eastAsia="Times New Roman" w:hAnsi="Arial" w:cs="Arial"/>
          <w:b/>
          <w:sz w:val="16"/>
          <w:szCs w:val="16"/>
          <w:lang w:eastAsia="en-GB"/>
        </w:rPr>
      </w:pPr>
      <w:r w:rsidRPr="00582CFB">
        <w:rPr>
          <w:rFonts w:ascii="Arial" w:eastAsia="Times New Roman" w:hAnsi="Arial" w:cs="Arial"/>
          <w:b/>
          <w:sz w:val="16"/>
          <w:szCs w:val="16"/>
          <w:lang w:eastAsia="en-GB"/>
        </w:rPr>
        <w:t xml:space="preserve">Government figures released last week showed an </w:t>
      </w:r>
      <w:hyperlink r:id="rId6" w:history="1">
        <w:r w:rsidRPr="00582CFB">
          <w:rPr>
            <w:rFonts w:ascii="Arial" w:eastAsia="Times New Roman" w:hAnsi="Arial" w:cs="Arial"/>
            <w:b/>
            <w:sz w:val="16"/>
            <w:szCs w:val="16"/>
            <w:lang w:eastAsia="en-GB"/>
          </w:rPr>
          <w:t>increase in local authorities’ commercial activities.</w:t>
        </w:r>
      </w:hyperlink>
      <w:r>
        <w:rPr>
          <w:rFonts w:ascii="Arial" w:eastAsia="Times New Roman" w:hAnsi="Arial" w:cs="Arial"/>
          <w:b/>
          <w:sz w:val="16"/>
          <w:szCs w:val="16"/>
          <w:lang w:eastAsia="en-GB"/>
        </w:rPr>
        <w:t xml:space="preserve"> </w:t>
      </w:r>
      <w:hyperlink r:id="rId7" w:history="1">
        <w:r w:rsidRPr="00582CFB">
          <w:rPr>
            <w:rFonts w:ascii="Arial" w:eastAsia="Times New Roman" w:hAnsi="Arial" w:cs="Arial"/>
            <w:b/>
            <w:sz w:val="16"/>
            <w:szCs w:val="16"/>
            <w:lang w:eastAsia="en-GB"/>
          </w:rPr>
          <w:t>English councils’</w:t>
        </w:r>
      </w:hyperlink>
      <w:r w:rsidRPr="00582CFB">
        <w:rPr>
          <w:rFonts w:ascii="Arial" w:eastAsia="Times New Roman" w:hAnsi="Arial" w:cs="Arial"/>
          <w:b/>
          <w:sz w:val="16"/>
          <w:szCs w:val="16"/>
          <w:lang w:eastAsia="en-GB"/>
        </w:rPr>
        <w:t xml:space="preserve"> acquisition of land and buildings rose by £1.2bn (43.1%) to £4bn in 2017-18 from £2.8bn in 2016-17, the Ministry of Housing, Communities and Local Government </w:t>
      </w:r>
      <w:hyperlink r:id="rId8" w:tgtFrame="_blank" w:history="1">
        <w:r w:rsidRPr="00582CFB">
          <w:rPr>
            <w:rFonts w:ascii="Arial" w:eastAsia="Times New Roman" w:hAnsi="Arial" w:cs="Arial"/>
            <w:b/>
            <w:sz w:val="16"/>
            <w:szCs w:val="16"/>
            <w:lang w:eastAsia="en-GB"/>
          </w:rPr>
          <w:t>data</w:t>
        </w:r>
      </w:hyperlink>
      <w:r w:rsidRPr="00582CFB">
        <w:rPr>
          <w:rFonts w:ascii="Arial" w:eastAsia="Times New Roman" w:hAnsi="Arial" w:cs="Arial"/>
          <w:b/>
          <w:sz w:val="16"/>
          <w:szCs w:val="16"/>
          <w:lang w:eastAsia="en-GB"/>
        </w:rPr>
        <w:t xml:space="preserve"> revealed.</w:t>
      </w:r>
      <w:r>
        <w:rPr>
          <w:rFonts w:ascii="Arial" w:eastAsia="Times New Roman" w:hAnsi="Arial" w:cs="Arial"/>
          <w:b/>
          <w:sz w:val="16"/>
          <w:szCs w:val="16"/>
          <w:lang w:eastAsia="en-GB"/>
        </w:rPr>
        <w:t xml:space="preserve"> </w:t>
      </w:r>
      <w:r w:rsidRPr="00582CFB">
        <w:rPr>
          <w:rFonts w:ascii="Arial" w:eastAsia="Times New Roman" w:hAnsi="Arial" w:cs="Arial"/>
          <w:b/>
          <w:sz w:val="16"/>
          <w:szCs w:val="16"/>
          <w:lang w:eastAsia="en-GB"/>
        </w:rPr>
        <w:t>Total borrowing by councils in England had risen from £4.4bn in 2013-14 to £10bn in 2017-18.</w:t>
      </w:r>
    </w:p>
    <w:p w14:paraId="28DAA740" w14:textId="2420C18B" w:rsidR="00582CFB" w:rsidRPr="00582CFB" w:rsidRDefault="00582CFB" w:rsidP="00582CFB">
      <w:pPr>
        <w:spacing w:after="120" w:line="348" w:lineRule="atLeast"/>
        <w:jc w:val="both"/>
        <w:rPr>
          <w:rFonts w:ascii="Arial" w:eastAsia="Times New Roman" w:hAnsi="Arial" w:cs="Arial"/>
          <w:b/>
          <w:sz w:val="16"/>
          <w:szCs w:val="16"/>
          <w:lang w:eastAsia="en-GB"/>
        </w:rPr>
      </w:pPr>
      <w:r w:rsidRPr="00582CFB">
        <w:rPr>
          <w:rFonts w:ascii="Arial" w:eastAsia="Times New Roman" w:hAnsi="Arial" w:cs="Arial"/>
          <w:b/>
          <w:sz w:val="16"/>
          <w:szCs w:val="16"/>
          <w:lang w:eastAsia="en-GB"/>
        </w:rPr>
        <w:t>The guidance is expected to be published before the end of the year.</w:t>
      </w:r>
      <w:r>
        <w:rPr>
          <w:rFonts w:ascii="Arial" w:eastAsia="Times New Roman" w:hAnsi="Arial" w:cs="Arial"/>
          <w:b/>
          <w:sz w:val="16"/>
          <w:szCs w:val="16"/>
          <w:lang w:eastAsia="en-GB"/>
        </w:rPr>
        <w:t xml:space="preserve"> </w:t>
      </w:r>
      <w:r w:rsidRPr="00582CFB">
        <w:rPr>
          <w:rFonts w:ascii="Arial" w:eastAsia="Times New Roman" w:hAnsi="Arial" w:cs="Arial"/>
          <w:b/>
          <w:sz w:val="16"/>
          <w:szCs w:val="16"/>
          <w:lang w:eastAsia="en-GB"/>
        </w:rPr>
        <w:t>Until it is released, CIPFA advised local authorities to refer to the government guidance, which cautions local authorities against:</w:t>
      </w:r>
    </w:p>
    <w:p w14:paraId="674F1DE3" w14:textId="77777777" w:rsidR="00582CFB" w:rsidRPr="00582CFB" w:rsidRDefault="00582CFB" w:rsidP="00582CFB">
      <w:pPr>
        <w:spacing w:after="120" w:line="348" w:lineRule="atLeast"/>
        <w:jc w:val="both"/>
        <w:rPr>
          <w:rFonts w:ascii="Arial" w:eastAsia="Times New Roman" w:hAnsi="Arial" w:cs="Arial"/>
          <w:b/>
          <w:sz w:val="16"/>
          <w:szCs w:val="16"/>
          <w:lang w:eastAsia="en-GB"/>
        </w:rPr>
      </w:pPr>
      <w:r w:rsidRPr="00582CFB">
        <w:rPr>
          <w:rFonts w:ascii="Arial" w:eastAsia="Times New Roman" w:hAnsi="Arial" w:cs="Arial"/>
          <w:b/>
          <w:sz w:val="16"/>
          <w:szCs w:val="16"/>
          <w:lang w:eastAsia="en-GB"/>
        </w:rPr>
        <w:t>- Becoming dependent on commercial income;</w:t>
      </w:r>
    </w:p>
    <w:p w14:paraId="613A6CEC" w14:textId="77777777" w:rsidR="00582CFB" w:rsidRPr="00582CFB" w:rsidRDefault="00582CFB" w:rsidP="00582CFB">
      <w:pPr>
        <w:spacing w:after="120" w:line="348" w:lineRule="atLeast"/>
        <w:jc w:val="both"/>
        <w:rPr>
          <w:rFonts w:ascii="Arial" w:eastAsia="Times New Roman" w:hAnsi="Arial" w:cs="Arial"/>
          <w:b/>
          <w:sz w:val="16"/>
          <w:szCs w:val="16"/>
          <w:lang w:eastAsia="en-GB"/>
        </w:rPr>
      </w:pPr>
      <w:r w:rsidRPr="00582CFB">
        <w:rPr>
          <w:rFonts w:ascii="Arial" w:eastAsia="Times New Roman" w:hAnsi="Arial" w:cs="Arial"/>
          <w:b/>
          <w:sz w:val="16"/>
          <w:szCs w:val="16"/>
          <w:lang w:eastAsia="en-GB"/>
        </w:rPr>
        <w:t>- Taking out too much debt relative to net service expenditure; and</w:t>
      </w:r>
    </w:p>
    <w:p w14:paraId="19718350" w14:textId="77777777" w:rsidR="00582CFB" w:rsidRPr="00582CFB" w:rsidRDefault="00582CFB" w:rsidP="00582CFB">
      <w:pPr>
        <w:spacing w:after="120" w:line="348" w:lineRule="atLeast"/>
        <w:jc w:val="both"/>
        <w:rPr>
          <w:rFonts w:ascii="Arial" w:eastAsia="Times New Roman" w:hAnsi="Arial" w:cs="Arial"/>
          <w:b/>
          <w:sz w:val="16"/>
          <w:szCs w:val="16"/>
          <w:lang w:eastAsia="en-GB"/>
        </w:rPr>
      </w:pPr>
      <w:r w:rsidRPr="00582CFB">
        <w:rPr>
          <w:rFonts w:ascii="Arial" w:eastAsia="Times New Roman" w:hAnsi="Arial" w:cs="Arial"/>
          <w:b/>
          <w:sz w:val="16"/>
          <w:szCs w:val="16"/>
          <w:lang w:eastAsia="en-GB"/>
        </w:rPr>
        <w:t>- Taking on debt to finance commercial investments.</w:t>
      </w:r>
    </w:p>
    <w:p w14:paraId="32C744EB" w14:textId="77777777" w:rsidR="00582CFB" w:rsidRPr="00582CFB" w:rsidRDefault="00582CFB" w:rsidP="00582CFB">
      <w:pPr>
        <w:spacing w:after="120" w:line="348" w:lineRule="atLeast"/>
        <w:jc w:val="both"/>
        <w:rPr>
          <w:rFonts w:ascii="Arial" w:eastAsia="Times New Roman" w:hAnsi="Arial" w:cs="Arial"/>
          <w:b/>
          <w:sz w:val="16"/>
          <w:szCs w:val="16"/>
          <w:lang w:eastAsia="en-GB"/>
        </w:rPr>
      </w:pPr>
      <w:r w:rsidRPr="00582CFB">
        <w:rPr>
          <w:rFonts w:ascii="Arial" w:eastAsia="Times New Roman" w:hAnsi="Arial" w:cs="Arial"/>
          <w:b/>
          <w:sz w:val="16"/>
          <w:szCs w:val="16"/>
          <w:lang w:eastAsia="en-GB"/>
        </w:rPr>
        <w:t>The MHCLG figures out last week showed the largest investors in commercial property were Spelthorne Borough Council at £270m and Warrington Borough Council with £220m. Eastleigh Borough Council also spent £194m.</w:t>
      </w:r>
    </w:p>
    <w:p w14:paraId="5272200D" w14:textId="77777777" w:rsidR="00582CFB" w:rsidRPr="00582CFB" w:rsidRDefault="00582CFB" w:rsidP="00582CFB">
      <w:pPr>
        <w:spacing w:after="120" w:line="348" w:lineRule="atLeast"/>
        <w:jc w:val="both"/>
        <w:rPr>
          <w:rFonts w:ascii="Arial" w:eastAsia="Times New Roman" w:hAnsi="Arial" w:cs="Arial"/>
          <w:b/>
          <w:sz w:val="16"/>
          <w:szCs w:val="16"/>
          <w:lang w:eastAsia="en-GB"/>
        </w:rPr>
      </w:pPr>
      <w:r w:rsidRPr="00582CFB">
        <w:rPr>
          <w:rFonts w:ascii="Arial" w:eastAsia="Times New Roman" w:hAnsi="Arial" w:cs="Arial"/>
          <w:b/>
          <w:i/>
          <w:iCs/>
          <w:sz w:val="16"/>
          <w:szCs w:val="16"/>
          <w:lang w:eastAsia="en-GB"/>
        </w:rPr>
        <w:t>PF</w:t>
      </w:r>
      <w:r w:rsidRPr="00582CFB">
        <w:rPr>
          <w:rFonts w:ascii="Arial" w:eastAsia="Times New Roman" w:hAnsi="Arial" w:cs="Arial"/>
          <w:b/>
          <w:sz w:val="16"/>
          <w:szCs w:val="16"/>
          <w:lang w:eastAsia="en-GB"/>
        </w:rPr>
        <w:t> understands that MHCLG and the Treasury have expressed concern about the scale of commercial property investment. </w:t>
      </w:r>
    </w:p>
    <w:p w14:paraId="7F447A32" w14:textId="77777777" w:rsidR="00582CFB" w:rsidRPr="00582CFB" w:rsidRDefault="00582CFB" w:rsidP="00582CFB">
      <w:pPr>
        <w:spacing w:after="120" w:line="348" w:lineRule="atLeast"/>
        <w:rPr>
          <w:rFonts w:ascii="Arial" w:eastAsia="Times New Roman" w:hAnsi="Arial" w:cs="Arial"/>
          <w:b/>
          <w:sz w:val="16"/>
          <w:szCs w:val="16"/>
          <w:lang w:eastAsia="en-GB"/>
        </w:rPr>
      </w:pPr>
      <w:r w:rsidRPr="00582CFB">
        <w:rPr>
          <w:rFonts w:ascii="Arial" w:eastAsia="Times New Roman" w:hAnsi="Arial" w:cs="Arial"/>
          <w:b/>
          <w:sz w:val="16"/>
          <w:szCs w:val="16"/>
          <w:lang w:eastAsia="en-GB"/>
        </w:rPr>
        <w:t>MHCLG has been contacted for comment.</w:t>
      </w:r>
    </w:p>
    <w:p w14:paraId="4935FE3C" w14:textId="77777777" w:rsidR="00582CFB" w:rsidRDefault="00582CFB" w:rsidP="00582CFB">
      <w:pPr>
        <w:spacing w:before="100" w:beforeAutospacing="1" w:after="100" w:afterAutospacing="1" w:line="210" w:lineRule="atLeast"/>
        <w:rPr>
          <w:rFonts w:ascii="Arial" w:eastAsia="Times New Roman" w:hAnsi="Arial" w:cs="Arial"/>
          <w:b/>
          <w:sz w:val="16"/>
          <w:szCs w:val="16"/>
          <w:lang w:eastAsia="en-GB"/>
        </w:rPr>
      </w:pPr>
      <w:r w:rsidRPr="00582CFB">
        <w:rPr>
          <w:rFonts w:ascii="Arial" w:eastAsia="Times New Roman" w:hAnsi="Arial" w:cs="Arial"/>
          <w:b/>
          <w:sz w:val="16"/>
          <w:szCs w:val="16"/>
          <w:lang w:eastAsia="en-GB"/>
        </w:rPr>
        <w:t xml:space="preserve">Dominic Brady </w:t>
      </w:r>
    </w:p>
    <w:p w14:paraId="7C336209" w14:textId="37672521" w:rsidR="00582CFB" w:rsidRDefault="00582CFB" w:rsidP="00582CFB">
      <w:pPr>
        <w:spacing w:before="100" w:beforeAutospacing="1" w:after="100" w:afterAutospacing="1" w:line="210" w:lineRule="atLeast"/>
        <w:rPr>
          <w:rFonts w:ascii="Arial" w:eastAsia="Times New Roman" w:hAnsi="Arial" w:cs="Arial"/>
          <w:b/>
          <w:sz w:val="16"/>
          <w:szCs w:val="16"/>
          <w:lang w:eastAsia="en-GB"/>
        </w:rPr>
      </w:pPr>
      <w:r w:rsidRPr="00582CFB">
        <w:rPr>
          <w:rFonts w:ascii="Arial" w:eastAsia="Times New Roman" w:hAnsi="Arial" w:cs="Arial"/>
          <w:b/>
          <w:i/>
          <w:iCs/>
          <w:sz w:val="16"/>
          <w:szCs w:val="16"/>
          <w:lang w:eastAsia="en-GB"/>
        </w:rPr>
        <w:t xml:space="preserve">PF </w:t>
      </w:r>
      <w:r w:rsidRPr="00582CFB">
        <w:rPr>
          <w:rFonts w:ascii="Arial" w:eastAsia="Times New Roman" w:hAnsi="Arial" w:cs="Arial"/>
          <w:b/>
          <w:sz w:val="16"/>
          <w:szCs w:val="16"/>
          <w:lang w:eastAsia="en-GB"/>
        </w:rPr>
        <w:t>reporter </w:t>
      </w:r>
    </w:p>
    <w:p w14:paraId="5A44DF51" w14:textId="05163D82" w:rsidR="00B452D1" w:rsidRPr="00582CFB" w:rsidRDefault="00582CFB" w:rsidP="00582CFB">
      <w:pPr>
        <w:spacing w:before="100" w:beforeAutospacing="1" w:after="100" w:afterAutospacing="1" w:line="210" w:lineRule="atLeast"/>
        <w:rPr>
          <w:rFonts w:ascii="Arial" w:eastAsia="Times New Roman" w:hAnsi="Arial" w:cs="Arial"/>
          <w:b/>
          <w:sz w:val="16"/>
          <w:szCs w:val="16"/>
          <w:lang w:eastAsia="en-GB"/>
        </w:rPr>
      </w:pPr>
      <w:r>
        <w:rPr>
          <w:rFonts w:ascii="Arial" w:eastAsia="Times New Roman" w:hAnsi="Arial" w:cs="Arial"/>
          <w:b/>
          <w:sz w:val="16"/>
          <w:szCs w:val="16"/>
          <w:lang w:eastAsia="en-GB"/>
        </w:rPr>
        <w:t>18 Oct 2018</w:t>
      </w:r>
      <w:bookmarkStart w:id="0" w:name="_GoBack"/>
      <w:bookmarkEnd w:id="0"/>
    </w:p>
    <w:sectPr w:rsidR="00B452D1" w:rsidRPr="00582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rriweathe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F3556"/>
    <w:multiLevelType w:val="multilevel"/>
    <w:tmpl w:val="C66A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FB"/>
    <w:rsid w:val="00582CFB"/>
    <w:rsid w:val="00B4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16BC"/>
  <w15:chartTrackingRefBased/>
  <w15:docId w15:val="{1A9C64D1-B7F7-4802-8CB4-F1FCB463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81829">
      <w:bodyDiv w:val="1"/>
      <w:marLeft w:val="0"/>
      <w:marRight w:val="0"/>
      <w:marTop w:val="0"/>
      <w:marBottom w:val="150"/>
      <w:divBdr>
        <w:top w:val="none" w:sz="0" w:space="0" w:color="auto"/>
        <w:left w:val="none" w:sz="0" w:space="0" w:color="auto"/>
        <w:bottom w:val="none" w:sz="0" w:space="0" w:color="auto"/>
        <w:right w:val="none" w:sz="0" w:space="0" w:color="auto"/>
      </w:divBdr>
      <w:divsChild>
        <w:div w:id="1896236286">
          <w:marLeft w:val="0"/>
          <w:marRight w:val="0"/>
          <w:marTop w:val="0"/>
          <w:marBottom w:val="0"/>
          <w:divBdr>
            <w:top w:val="none" w:sz="0" w:space="0" w:color="auto"/>
            <w:left w:val="none" w:sz="0" w:space="0" w:color="auto"/>
            <w:bottom w:val="none" w:sz="0" w:space="0" w:color="auto"/>
            <w:right w:val="none" w:sz="0" w:space="0" w:color="auto"/>
          </w:divBdr>
          <w:divsChild>
            <w:div w:id="1867601672">
              <w:marLeft w:val="0"/>
              <w:marRight w:val="0"/>
              <w:marTop w:val="0"/>
              <w:marBottom w:val="0"/>
              <w:divBdr>
                <w:top w:val="none" w:sz="0" w:space="0" w:color="auto"/>
                <w:left w:val="none" w:sz="0" w:space="0" w:color="auto"/>
                <w:bottom w:val="none" w:sz="0" w:space="0" w:color="auto"/>
                <w:right w:val="none" w:sz="0" w:space="0" w:color="auto"/>
              </w:divBdr>
              <w:divsChild>
                <w:div w:id="1311715641">
                  <w:marLeft w:val="0"/>
                  <w:marRight w:val="0"/>
                  <w:marTop w:val="0"/>
                  <w:marBottom w:val="0"/>
                  <w:divBdr>
                    <w:top w:val="none" w:sz="0" w:space="0" w:color="auto"/>
                    <w:left w:val="none" w:sz="0" w:space="0" w:color="auto"/>
                    <w:bottom w:val="none" w:sz="0" w:space="0" w:color="auto"/>
                    <w:right w:val="none" w:sz="0" w:space="0" w:color="auto"/>
                  </w:divBdr>
                  <w:divsChild>
                    <w:div w:id="2128311206">
                      <w:marLeft w:val="0"/>
                      <w:marRight w:val="0"/>
                      <w:marTop w:val="0"/>
                      <w:marBottom w:val="0"/>
                      <w:divBdr>
                        <w:top w:val="none" w:sz="0" w:space="0" w:color="auto"/>
                        <w:left w:val="none" w:sz="0" w:space="0" w:color="auto"/>
                        <w:bottom w:val="none" w:sz="0" w:space="0" w:color="auto"/>
                        <w:right w:val="none" w:sz="0" w:space="0" w:color="auto"/>
                      </w:divBdr>
                      <w:divsChild>
                        <w:div w:id="1940722833">
                          <w:marLeft w:val="0"/>
                          <w:marRight w:val="0"/>
                          <w:marTop w:val="0"/>
                          <w:marBottom w:val="0"/>
                          <w:divBdr>
                            <w:top w:val="none" w:sz="0" w:space="0" w:color="auto"/>
                            <w:left w:val="none" w:sz="0" w:space="0" w:color="auto"/>
                            <w:bottom w:val="none" w:sz="0" w:space="0" w:color="auto"/>
                            <w:right w:val="none" w:sz="0" w:space="0" w:color="auto"/>
                          </w:divBdr>
                          <w:divsChild>
                            <w:div w:id="182017229">
                              <w:marLeft w:val="0"/>
                              <w:marRight w:val="0"/>
                              <w:marTop w:val="0"/>
                              <w:marBottom w:val="0"/>
                              <w:divBdr>
                                <w:top w:val="none" w:sz="0" w:space="0" w:color="auto"/>
                                <w:left w:val="none" w:sz="0" w:space="0" w:color="auto"/>
                                <w:bottom w:val="none" w:sz="0" w:space="0" w:color="auto"/>
                                <w:right w:val="none" w:sz="0" w:space="0" w:color="auto"/>
                              </w:divBdr>
                            </w:div>
                            <w:div w:id="1471047431">
                              <w:marLeft w:val="0"/>
                              <w:marRight w:val="0"/>
                              <w:marTop w:val="0"/>
                              <w:marBottom w:val="0"/>
                              <w:divBdr>
                                <w:top w:val="none" w:sz="0" w:space="0" w:color="auto"/>
                                <w:left w:val="none" w:sz="0" w:space="0" w:color="auto"/>
                                <w:bottom w:val="none" w:sz="0" w:space="0" w:color="auto"/>
                                <w:right w:val="none" w:sz="0" w:space="0" w:color="auto"/>
                              </w:divBdr>
                              <w:divsChild>
                                <w:div w:id="1937588314">
                                  <w:marLeft w:val="0"/>
                                  <w:marRight w:val="75"/>
                                  <w:marTop w:val="0"/>
                                  <w:marBottom w:val="75"/>
                                  <w:divBdr>
                                    <w:top w:val="none" w:sz="0" w:space="0" w:color="auto"/>
                                    <w:left w:val="none" w:sz="0" w:space="0" w:color="auto"/>
                                    <w:bottom w:val="none" w:sz="0" w:space="0" w:color="auto"/>
                                    <w:right w:val="none" w:sz="0" w:space="0" w:color="auto"/>
                                  </w:divBdr>
                                  <w:divsChild>
                                    <w:div w:id="1563639405">
                                      <w:marLeft w:val="0"/>
                                      <w:marRight w:val="0"/>
                                      <w:marTop w:val="0"/>
                                      <w:marBottom w:val="0"/>
                                      <w:divBdr>
                                        <w:top w:val="none" w:sz="0" w:space="0" w:color="auto"/>
                                        <w:left w:val="none" w:sz="0" w:space="0" w:color="auto"/>
                                        <w:bottom w:val="none" w:sz="0" w:space="0" w:color="auto"/>
                                        <w:right w:val="none" w:sz="0" w:space="0" w:color="auto"/>
                                      </w:divBdr>
                                      <w:divsChild>
                                        <w:div w:id="12521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6081">
                              <w:marLeft w:val="0"/>
                              <w:marRight w:val="0"/>
                              <w:marTop w:val="0"/>
                              <w:marBottom w:val="0"/>
                              <w:divBdr>
                                <w:top w:val="none" w:sz="0" w:space="0" w:color="auto"/>
                                <w:left w:val="none" w:sz="0" w:space="0" w:color="auto"/>
                                <w:bottom w:val="none" w:sz="0" w:space="0" w:color="auto"/>
                                <w:right w:val="none" w:sz="0" w:space="0" w:color="auto"/>
                              </w:divBdr>
                              <w:divsChild>
                                <w:div w:id="1416324377">
                                  <w:marLeft w:val="0"/>
                                  <w:marRight w:val="75"/>
                                  <w:marTop w:val="0"/>
                                  <w:marBottom w:val="75"/>
                                  <w:divBdr>
                                    <w:top w:val="none" w:sz="0" w:space="0" w:color="auto"/>
                                    <w:left w:val="single" w:sz="6" w:space="4" w:color="auto"/>
                                    <w:bottom w:val="none" w:sz="0" w:space="0" w:color="auto"/>
                                    <w:right w:val="none" w:sz="0" w:space="0" w:color="auto"/>
                                  </w:divBdr>
                                  <w:divsChild>
                                    <w:div w:id="2254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7680">
                              <w:marLeft w:val="0"/>
                              <w:marRight w:val="0"/>
                              <w:marTop w:val="0"/>
                              <w:marBottom w:val="0"/>
                              <w:divBdr>
                                <w:top w:val="none" w:sz="0" w:space="0" w:color="auto"/>
                                <w:left w:val="none" w:sz="0" w:space="0" w:color="auto"/>
                                <w:bottom w:val="none" w:sz="0" w:space="0" w:color="auto"/>
                                <w:right w:val="none" w:sz="0" w:space="0" w:color="auto"/>
                              </w:divBdr>
                              <w:divsChild>
                                <w:div w:id="2101560626">
                                  <w:marLeft w:val="0"/>
                                  <w:marRight w:val="0"/>
                                  <w:marTop w:val="0"/>
                                  <w:marBottom w:val="0"/>
                                  <w:divBdr>
                                    <w:top w:val="none" w:sz="0" w:space="0" w:color="auto"/>
                                    <w:left w:val="none" w:sz="0" w:space="0" w:color="auto"/>
                                    <w:bottom w:val="none" w:sz="0" w:space="0" w:color="auto"/>
                                    <w:right w:val="none" w:sz="0" w:space="0" w:color="auto"/>
                                  </w:divBdr>
                                  <w:divsChild>
                                    <w:div w:id="5275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869">
                              <w:marLeft w:val="0"/>
                              <w:marRight w:val="0"/>
                              <w:marTop w:val="0"/>
                              <w:marBottom w:val="0"/>
                              <w:divBdr>
                                <w:top w:val="none" w:sz="0" w:space="0" w:color="auto"/>
                                <w:left w:val="none" w:sz="0" w:space="0" w:color="auto"/>
                                <w:bottom w:val="none" w:sz="0" w:space="0" w:color="auto"/>
                                <w:right w:val="none" w:sz="0" w:space="0" w:color="auto"/>
                              </w:divBdr>
                              <w:divsChild>
                                <w:div w:id="1490243307">
                                  <w:marLeft w:val="0"/>
                                  <w:marRight w:val="0"/>
                                  <w:marTop w:val="0"/>
                                  <w:marBottom w:val="0"/>
                                  <w:divBdr>
                                    <w:top w:val="none" w:sz="0" w:space="0" w:color="auto"/>
                                    <w:left w:val="none" w:sz="0" w:space="0" w:color="auto"/>
                                    <w:bottom w:val="none" w:sz="0" w:space="0" w:color="auto"/>
                                    <w:right w:val="none" w:sz="0" w:space="0" w:color="auto"/>
                                  </w:divBdr>
                                  <w:divsChild>
                                    <w:div w:id="17217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9006">
                              <w:marLeft w:val="0"/>
                              <w:marRight w:val="0"/>
                              <w:marTop w:val="0"/>
                              <w:marBottom w:val="0"/>
                              <w:divBdr>
                                <w:top w:val="none" w:sz="0" w:space="0" w:color="auto"/>
                                <w:left w:val="none" w:sz="0" w:space="0" w:color="auto"/>
                                <w:bottom w:val="none" w:sz="0" w:space="0" w:color="auto"/>
                                <w:right w:val="none" w:sz="0" w:space="0" w:color="auto"/>
                              </w:divBdr>
                              <w:divsChild>
                                <w:div w:id="1702631122">
                                  <w:marLeft w:val="0"/>
                                  <w:marRight w:val="0"/>
                                  <w:marTop w:val="0"/>
                                  <w:marBottom w:val="0"/>
                                  <w:divBdr>
                                    <w:top w:val="none" w:sz="0" w:space="0" w:color="auto"/>
                                    <w:left w:val="none" w:sz="0" w:space="0" w:color="auto"/>
                                    <w:bottom w:val="none" w:sz="0" w:space="0" w:color="auto"/>
                                    <w:right w:val="none" w:sz="0" w:space="0" w:color="auto"/>
                                  </w:divBdr>
                                  <w:divsChild>
                                    <w:div w:id="817693081">
                                      <w:marLeft w:val="0"/>
                                      <w:marRight w:val="0"/>
                                      <w:marTop w:val="0"/>
                                      <w:marBottom w:val="0"/>
                                      <w:divBdr>
                                        <w:top w:val="none" w:sz="0" w:space="0" w:color="auto"/>
                                        <w:left w:val="none" w:sz="0" w:space="0" w:color="auto"/>
                                        <w:bottom w:val="none" w:sz="0" w:space="0" w:color="auto"/>
                                        <w:right w:val="none" w:sz="0" w:space="0" w:color="auto"/>
                                      </w:divBdr>
                                      <w:divsChild>
                                        <w:div w:id="812915175">
                                          <w:marLeft w:val="0"/>
                                          <w:marRight w:val="0"/>
                                          <w:marTop w:val="0"/>
                                          <w:marBottom w:val="0"/>
                                          <w:divBdr>
                                            <w:top w:val="none" w:sz="0" w:space="0" w:color="auto"/>
                                            <w:left w:val="none" w:sz="0" w:space="0" w:color="auto"/>
                                            <w:bottom w:val="none" w:sz="0" w:space="0" w:color="auto"/>
                                            <w:right w:val="none" w:sz="0" w:space="0" w:color="auto"/>
                                          </w:divBdr>
                                          <w:divsChild>
                                            <w:div w:id="1482888707">
                                              <w:marLeft w:val="0"/>
                                              <w:marRight w:val="0"/>
                                              <w:marTop w:val="0"/>
                                              <w:marBottom w:val="0"/>
                                              <w:divBdr>
                                                <w:top w:val="none" w:sz="0" w:space="0" w:color="auto"/>
                                                <w:left w:val="none" w:sz="0" w:space="0" w:color="auto"/>
                                                <w:bottom w:val="none" w:sz="0" w:space="0" w:color="auto"/>
                                                <w:right w:val="none" w:sz="0" w:space="0" w:color="auto"/>
                                              </w:divBdr>
                                            </w:div>
                                            <w:div w:id="175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48292/Local_Authority_Capital_Expenditure_and_Receipts__England_2017-18_Final_Outturn.pdf" TargetMode="External"/><Relationship Id="rId3" Type="http://schemas.openxmlformats.org/officeDocument/2006/relationships/settings" Target="settings.xml"/><Relationship Id="rId7" Type="http://schemas.openxmlformats.org/officeDocument/2006/relationships/hyperlink" Target="https://www.publicfinance.co.uk/topics/local-gover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finance.co.uk/news/2018/10/mhclg-data-spotlights-sharp-rise-councils-commercial-activity" TargetMode="External"/><Relationship Id="rId5" Type="http://schemas.openxmlformats.org/officeDocument/2006/relationships/hyperlink" Target="https://assets.publishing.service.gov.uk/government/uploads/system/uploads/attachment_data/file/678866/Guidance_on_local_government_investmen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Flexman</dc:creator>
  <cp:keywords/>
  <dc:description/>
  <cp:lastModifiedBy>Graham Flexman</cp:lastModifiedBy>
  <cp:revision>1</cp:revision>
  <dcterms:created xsi:type="dcterms:W3CDTF">2018-12-13T14:20:00Z</dcterms:created>
  <dcterms:modified xsi:type="dcterms:W3CDTF">2018-12-13T14:25:00Z</dcterms:modified>
</cp:coreProperties>
</file>