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A3660A" w14:paraId="14D2BDFE" w14:textId="77777777" w:rsidTr="00A3660A">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A3660A" w14:paraId="2432F834"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A3660A" w14:paraId="3DA650D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3660A" w14:paraId="07ABEDE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3660A" w14:paraId="2CDCBE0B" w14:textId="77777777">
                                <w:tc>
                                  <w:tcPr>
                                    <w:tcW w:w="0" w:type="auto"/>
                                    <w:tcMar>
                                      <w:top w:w="0" w:type="dxa"/>
                                      <w:left w:w="270" w:type="dxa"/>
                                      <w:bottom w:w="135" w:type="dxa"/>
                                      <w:right w:w="270" w:type="dxa"/>
                                    </w:tcMar>
                                    <w:hideMark/>
                                  </w:tcPr>
                                  <w:p w14:paraId="64BE689A" w14:textId="77777777" w:rsidR="005F38AD" w:rsidRDefault="005F38AD">
                                    <w:pPr>
                                      <w:pStyle w:val="Heading1"/>
                                      <w:jc w:val="left"/>
                                      <w:rPr>
                                        <w:rFonts w:eastAsia="Times New Roman"/>
                                      </w:rPr>
                                    </w:pPr>
                                    <w:r>
                                      <w:rPr>
                                        <w:rFonts w:eastAsia="Times New Roman"/>
                                        <w:noProof/>
                                      </w:rPr>
                                      <w:drawing>
                                        <wp:inline distT="0" distB="0" distL="0" distR="0" wp14:anchorId="4920373D" wp14:editId="2EA1C0F0">
                                          <wp:extent cx="2755900" cy="1619250"/>
                                          <wp:effectExtent l="0" t="0" r="6350" b="0"/>
                                          <wp:docPr id="2" name="Picture 2" descr="https://gallery.mailchimp.com/16886b5d6c31eade2f9a50027/images/9021b0a5-32c0-4600-bec0-b854e35ad5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16886b5d6c31eade2f9a50027/images/9021b0a5-32c0-4600-bec0-b854e35ad587.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755900" cy="1619250"/>
                                                  </a:xfrm>
                                                  <a:prstGeom prst="rect">
                                                    <a:avLst/>
                                                  </a:prstGeom>
                                                  <a:noFill/>
                                                  <a:ln>
                                                    <a:noFill/>
                                                  </a:ln>
                                                </pic:spPr>
                                              </pic:pic>
                                            </a:graphicData>
                                          </a:graphic>
                                        </wp:inline>
                                      </w:drawing>
                                    </w:r>
                                  </w:p>
                                  <w:p w14:paraId="17BBD088" w14:textId="319351B9" w:rsidR="00A3660A" w:rsidRPr="005F38AD" w:rsidRDefault="00A3660A" w:rsidP="005F38AD">
                                    <w:pPr>
                                      <w:pStyle w:val="Heading1"/>
                                      <w:jc w:val="left"/>
                                      <w:rPr>
                                        <w:rFonts w:eastAsia="Times New Roman"/>
                                      </w:rPr>
                                    </w:pPr>
                                    <w:r>
                                      <w:rPr>
                                        <w:rFonts w:eastAsia="Times New Roman"/>
                                      </w:rPr>
                                      <w:t>Chief executive's bulletin </w:t>
                                    </w:r>
                                  </w:p>
                                  <w:p w14:paraId="5B3F779E" w14:textId="374E5AFB" w:rsidR="00A3660A" w:rsidRDefault="00A3660A" w:rsidP="00EF10FB">
                                    <w:pPr>
                                      <w:spacing w:line="360" w:lineRule="auto"/>
                                      <w:rPr>
                                        <w:rFonts w:ascii="Helvetica" w:eastAsia="Times New Roman" w:hAnsi="Helvetica" w:cs="Helvetica"/>
                                        <w:color w:val="5C5C5C"/>
                                        <w:sz w:val="21"/>
                                        <w:szCs w:val="21"/>
                                      </w:rPr>
                                    </w:pPr>
                                    <w:r w:rsidRPr="005F38AD">
                                      <w:rPr>
                                        <w:rStyle w:val="Strong"/>
                                        <w:rFonts w:ascii="Helvetica" w:eastAsia="Times New Roman" w:hAnsi="Helvetica" w:cs="Helvetica"/>
                                        <w:color w:val="5C5C5C"/>
                                        <w:sz w:val="28"/>
                                        <w:szCs w:val="28"/>
                                      </w:rPr>
                                      <w:t>Provisional local government finance settlement</w:t>
                                    </w:r>
                                    <w:r>
                                      <w:rPr>
                                        <w:rFonts w:ascii="Helvetica" w:eastAsia="Times New Roman" w:hAnsi="Helvetica" w:cs="Helvetica"/>
                                        <w:color w:val="5C5C5C"/>
                                        <w:sz w:val="21"/>
                                        <w:szCs w:val="21"/>
                                      </w:rPr>
                                      <w:br/>
                                    </w:r>
                                    <w:r>
                                      <w:rPr>
                                        <w:rFonts w:ascii="Helvetica" w:eastAsia="Times New Roman" w:hAnsi="Helvetica" w:cs="Helvetica"/>
                                        <w:color w:val="5C5C5C"/>
                                        <w:sz w:val="21"/>
                                        <w:szCs w:val="21"/>
                                      </w:rPr>
                                      <w:br/>
                                      <w:t xml:space="preserve">The provisional local government finance settlement was published on 13 December and I’m really pleased to let you know it confirms the government’s </w:t>
                                    </w:r>
                                    <w:hyperlink r:id="rId5" w:history="1">
                                      <w:r>
                                        <w:rPr>
                                          <w:rStyle w:val="Hyperlink"/>
                                          <w:rFonts w:ascii="Helvetica" w:eastAsia="Times New Roman" w:hAnsi="Helvetica" w:cs="Helvetica"/>
                                          <w:b/>
                                          <w:bCs/>
                                          <w:color w:val="00879B"/>
                                          <w:sz w:val="21"/>
                                          <w:szCs w:val="21"/>
                                        </w:rPr>
                                        <w:t>plans in the technical consultation</w:t>
                                      </w:r>
                                    </w:hyperlink>
                                    <w:r>
                                      <w:rPr>
                                        <w:rFonts w:ascii="Helvetica" w:eastAsia="Times New Roman" w:hAnsi="Helvetica" w:cs="Helvetica"/>
                                        <w:color w:val="5C5C5C"/>
                                        <w:sz w:val="21"/>
                                        <w:szCs w:val="21"/>
                                      </w:rPr>
                                      <w:t xml:space="preserve"> not to extend council tax referendum principles to local (parish and town) councils for 2019-20. The key section from the </w:t>
                                    </w:r>
                                    <w:hyperlink r:id="rId6" w:history="1">
                                      <w:r>
                                        <w:rPr>
                                          <w:rStyle w:val="Hyperlink"/>
                                          <w:rFonts w:ascii="Helvetica" w:eastAsia="Times New Roman" w:hAnsi="Helvetica" w:cs="Helvetica"/>
                                          <w:b/>
                                          <w:bCs/>
                                          <w:color w:val="00879B"/>
                                          <w:sz w:val="21"/>
                                          <w:szCs w:val="21"/>
                                        </w:rPr>
                                        <w:t>consultation paper</w:t>
                                      </w:r>
                                    </w:hyperlink>
                                    <w:r>
                                      <w:rPr>
                                        <w:rFonts w:ascii="Helvetica" w:eastAsia="Times New Roman" w:hAnsi="Helvetica" w:cs="Helvetica"/>
                                        <w:color w:val="5C5C5C"/>
                                        <w:sz w:val="21"/>
                                        <w:szCs w:val="21"/>
                                      </w:rPr>
                                      <w:t xml:space="preserve"> on the settlement published alongside the statement says: “The government has decided to continue the deferral of setting referendum principles for town and parish councils subject to the conditions above, but encourages parish councils to continue this downward trend, and will keep this area under active review”. </w:t>
                                    </w:r>
                                    <w:r w:rsidR="00EF10FB">
                                      <w:rPr>
                                        <w:rFonts w:ascii="Helvetica" w:eastAsia="Times New Roman" w:hAnsi="Helvetica" w:cs="Helvetica"/>
                                        <w:color w:val="5C5C5C"/>
                                        <w:sz w:val="21"/>
                                        <w:szCs w:val="21"/>
                                      </w:rPr>
                                      <w:t>A summary</w:t>
                                    </w:r>
                                    <w:r w:rsidR="00AD64B4">
                                      <w:rPr>
                                        <w:rFonts w:ascii="Helvetica" w:eastAsia="Times New Roman" w:hAnsi="Helvetica" w:cs="Helvetica"/>
                                        <w:color w:val="5C5C5C"/>
                                        <w:sz w:val="21"/>
                                        <w:szCs w:val="21"/>
                                      </w:rPr>
                                      <w:t xml:space="preserve"> </w:t>
                                    </w:r>
                                    <w:r w:rsidR="00EF10FB">
                                      <w:rPr>
                                        <w:rFonts w:ascii="Helvetica" w:eastAsia="Times New Roman" w:hAnsi="Helvetica" w:cs="Helvetica"/>
                                        <w:color w:val="5C5C5C"/>
                                        <w:sz w:val="21"/>
                                        <w:szCs w:val="21"/>
                                      </w:rPr>
                                      <w:t xml:space="preserve">is provided </w:t>
                                    </w:r>
                                    <w:r w:rsidR="00AD64B4">
                                      <w:rPr>
                                        <w:rFonts w:ascii="Helvetica" w:eastAsia="Times New Roman" w:hAnsi="Helvetica" w:cs="Helvetica"/>
                                        <w:color w:val="5C5C5C"/>
                                        <w:sz w:val="21"/>
                                        <w:szCs w:val="21"/>
                                      </w:rPr>
                                      <w:t>over the page.</w:t>
                                    </w:r>
                                    <w:r>
                                      <w:rPr>
                                        <w:rFonts w:ascii="Helvetica" w:eastAsia="Times New Roman" w:hAnsi="Helvetica" w:cs="Helvetica"/>
                                        <w:color w:val="5C5C5C"/>
                                        <w:sz w:val="21"/>
                                        <w:szCs w:val="21"/>
                                      </w:rPr>
                                      <w:br/>
                                    </w:r>
                                    <w:r>
                                      <w:rPr>
                                        <w:rFonts w:ascii="Helvetica" w:eastAsia="Times New Roman" w:hAnsi="Helvetica" w:cs="Helvetica"/>
                                        <w:color w:val="5C5C5C"/>
                                        <w:sz w:val="21"/>
                                        <w:szCs w:val="21"/>
                                      </w:rPr>
                                      <w:br/>
                                      <w:t>This will be the second year of the three-year deal announced earlier this year and a direct result NALC’s extensive lobbying through our flexible and diverse funding campaign. But I wanted to highlight that since the Localism Act 2011 introduced the power for government to set council tax referendum principles, NALC has campaigned successfully each year against their extension to our sector, a significant lobbying achievement! Our chairman Cllr Sue Baxter will be meeting the local government minister, Rishi Sunak MP, in the New Year, where this and other local government finance matters, along with a wide range of other issues, will be discussed. </w:t>
                                    </w:r>
                                    <w:r>
                                      <w:rPr>
                                        <w:rFonts w:ascii="Helvetica" w:eastAsia="Times New Roman" w:hAnsi="Helvetica" w:cs="Helvetica"/>
                                        <w:color w:val="5C5C5C"/>
                                        <w:sz w:val="21"/>
                                        <w:szCs w:val="21"/>
                                      </w:rPr>
                                      <w:br/>
                                      <w:t> </w:t>
                                    </w:r>
                                    <w:r>
                                      <w:rPr>
                                        <w:rFonts w:ascii="Helvetica" w:eastAsia="Times New Roman" w:hAnsi="Helvetica" w:cs="Helvetica"/>
                                        <w:vanish/>
                                        <w:color w:val="5C5C5C"/>
                                        <w:sz w:val="21"/>
                                        <w:szCs w:val="21"/>
                                      </w:rPr>
                                      <w:t> </w:t>
                                    </w:r>
                                    <w:r w:rsidR="005F38AD">
                                      <w:rPr>
                                        <w:rFonts w:eastAsia="Times New Roman"/>
                                        <w:noProof/>
                                      </w:rPr>
                                      <w:drawing>
                                        <wp:anchor distT="0" distB="0" distL="0" distR="0" simplePos="0" relativeHeight="251662336" behindDoc="0" locked="0" layoutInCell="1" allowOverlap="0" wp14:anchorId="7A898B32" wp14:editId="09ADE791">
                                          <wp:simplePos x="0" y="0"/>
                                          <wp:positionH relativeFrom="column">
                                            <wp:posOffset>0</wp:posOffset>
                                          </wp:positionH>
                                          <wp:positionV relativeFrom="line">
                                            <wp:posOffset>164465</wp:posOffset>
                                          </wp:positionV>
                                          <wp:extent cx="1666875" cy="1428750"/>
                                          <wp:effectExtent l="0" t="0" r="9525" b="0"/>
                                          <wp:wrapSquare wrapText="bothSides"/>
                                          <wp:docPr id="4" name="Picture 4" descr="https://gallery.mailchimp.com/16886b5d6c31eade2f9a50027/images/53519c82-ce35-42a9-8323-63efc9333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16886b5d6c31eade2f9a50027/images/53519c82-ce35-42a9-8323-63efc9333e5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B737713" w14:textId="77777777" w:rsidR="00A3660A" w:rsidRDefault="00A3660A">
                              <w:pPr>
                                <w:rPr>
                                  <w:rFonts w:ascii="Times New Roman" w:eastAsia="Times New Roman" w:hAnsi="Times New Roman" w:cs="Times New Roman"/>
                                  <w:sz w:val="20"/>
                                  <w:szCs w:val="20"/>
                                </w:rPr>
                              </w:pPr>
                            </w:p>
                          </w:tc>
                        </w:tr>
                      </w:tbl>
                      <w:p w14:paraId="69D2236F" w14:textId="77777777" w:rsidR="00A3660A" w:rsidRDefault="00A3660A">
                        <w:pPr>
                          <w:rPr>
                            <w:rFonts w:ascii="Times New Roman" w:eastAsia="Times New Roman" w:hAnsi="Times New Roman" w:cs="Times New Roman"/>
                            <w:sz w:val="20"/>
                            <w:szCs w:val="20"/>
                          </w:rPr>
                        </w:pPr>
                      </w:p>
                    </w:tc>
                  </w:tr>
                </w:tbl>
                <w:p w14:paraId="3077F0B8" w14:textId="77777777" w:rsidR="00A3660A" w:rsidRDefault="00A3660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3660A" w14:paraId="6C87A9D6" w14:textId="77777777">
                    <w:trPr>
                      <w:hidden/>
                    </w:trPr>
                    <w:tc>
                      <w:tcPr>
                        <w:tcW w:w="0" w:type="auto"/>
                        <w:tcMar>
                          <w:top w:w="300" w:type="dxa"/>
                          <w:left w:w="270" w:type="dxa"/>
                          <w:bottom w:w="0" w:type="dxa"/>
                          <w:right w:w="270" w:type="dxa"/>
                        </w:tcMar>
                        <w:vAlign w:val="center"/>
                        <w:hideMark/>
                      </w:tcPr>
                      <w:tbl>
                        <w:tblPr>
                          <w:tblW w:w="5000" w:type="pct"/>
                          <w:tblBorders>
                            <w:top w:val="single" w:sz="12" w:space="0" w:color="FFFFFF"/>
                          </w:tblBorders>
                          <w:tblCellMar>
                            <w:left w:w="0" w:type="dxa"/>
                            <w:right w:w="0" w:type="dxa"/>
                          </w:tblCellMar>
                          <w:tblLook w:val="04A0" w:firstRow="1" w:lastRow="0" w:firstColumn="1" w:lastColumn="0" w:noHBand="0" w:noVBand="1"/>
                        </w:tblPr>
                        <w:tblGrid>
                          <w:gridCol w:w="8460"/>
                        </w:tblGrid>
                        <w:tr w:rsidR="00A3660A" w14:paraId="200F1BB8" w14:textId="77777777">
                          <w:trPr>
                            <w:hidden/>
                          </w:trPr>
                          <w:tc>
                            <w:tcPr>
                              <w:tcW w:w="0" w:type="auto"/>
                              <w:tcBorders>
                                <w:top w:val="single" w:sz="12" w:space="0" w:color="FFFFFF"/>
                                <w:left w:val="nil"/>
                                <w:bottom w:val="nil"/>
                                <w:right w:val="nil"/>
                              </w:tcBorders>
                              <w:vAlign w:val="center"/>
                              <w:hideMark/>
                            </w:tcPr>
                            <w:p w14:paraId="045A878F" w14:textId="77777777" w:rsidR="00A3660A" w:rsidRDefault="00A3660A">
                              <w:pPr>
                                <w:rPr>
                                  <w:rFonts w:eastAsia="Times New Roman"/>
                                  <w:vanish/>
                                </w:rPr>
                              </w:pPr>
                            </w:p>
                          </w:tc>
                        </w:tr>
                      </w:tbl>
                      <w:p w14:paraId="7EA7201B" w14:textId="6F995674" w:rsidR="00A3660A" w:rsidRDefault="00A3660A">
                        <w:pPr>
                          <w:rPr>
                            <w:rFonts w:ascii="Times New Roman" w:eastAsia="Times New Roman" w:hAnsi="Times New Roman" w:cs="Times New Roman"/>
                            <w:sz w:val="20"/>
                            <w:szCs w:val="20"/>
                          </w:rPr>
                        </w:pPr>
                      </w:p>
                    </w:tc>
                  </w:tr>
                </w:tbl>
                <w:p w14:paraId="2B8B64AA" w14:textId="77777777" w:rsidR="00A3660A" w:rsidRDefault="00A3660A">
                  <w:pPr>
                    <w:rPr>
                      <w:rFonts w:eastAsia="Times New Roman"/>
                      <w:vanish/>
                    </w:rPr>
                  </w:pPr>
                </w:p>
                <w:p w14:paraId="6877DD3D" w14:textId="77777777" w:rsidR="00A3660A" w:rsidRDefault="00A3660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3660A" w14:paraId="1D0C1713"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969696"/>
                          </w:tblBorders>
                          <w:tblCellMar>
                            <w:left w:w="0" w:type="dxa"/>
                            <w:right w:w="0" w:type="dxa"/>
                          </w:tblCellMar>
                          <w:tblLook w:val="04A0" w:firstRow="1" w:lastRow="0" w:firstColumn="1" w:lastColumn="0" w:noHBand="0" w:noVBand="1"/>
                        </w:tblPr>
                        <w:tblGrid>
                          <w:gridCol w:w="8460"/>
                        </w:tblGrid>
                        <w:tr w:rsidR="00A3660A" w14:paraId="2139A32E" w14:textId="77777777">
                          <w:trPr>
                            <w:hidden/>
                          </w:trPr>
                          <w:tc>
                            <w:tcPr>
                              <w:tcW w:w="0" w:type="auto"/>
                              <w:tcBorders>
                                <w:top w:val="single" w:sz="12" w:space="0" w:color="969696"/>
                                <w:left w:val="nil"/>
                                <w:bottom w:val="nil"/>
                                <w:right w:val="nil"/>
                              </w:tcBorders>
                              <w:vAlign w:val="center"/>
                              <w:hideMark/>
                            </w:tcPr>
                            <w:p w14:paraId="596F6319" w14:textId="77777777" w:rsidR="00A3660A" w:rsidRDefault="00A3660A">
                              <w:pPr>
                                <w:rPr>
                                  <w:rFonts w:eastAsia="Times New Roman"/>
                                  <w:vanish/>
                                </w:rPr>
                              </w:pPr>
                            </w:p>
                          </w:tc>
                        </w:tr>
                      </w:tbl>
                      <w:p w14:paraId="0036E30A" w14:textId="77777777" w:rsidR="00EF10FB" w:rsidRDefault="00EF10FB" w:rsidP="00EF10FB">
                        <w:pPr>
                          <w:spacing w:line="450" w:lineRule="atLeast"/>
                          <w:outlineLvl w:val="0"/>
                          <w:rPr>
                            <w:rFonts w:ascii="Arial" w:eastAsia="Times New Roman" w:hAnsi="Arial" w:cs="Arial"/>
                            <w:b/>
                            <w:bCs/>
                            <w:color w:val="0A0203"/>
                            <w:kern w:val="36"/>
                            <w:sz w:val="40"/>
                            <w:szCs w:val="40"/>
                          </w:rPr>
                        </w:pPr>
                        <w:r w:rsidRPr="00EF10FB">
                          <w:rPr>
                            <w:rFonts w:ascii="Arial" w:eastAsia="Times New Roman" w:hAnsi="Arial" w:cs="Arial"/>
                            <w:b/>
                            <w:bCs/>
                            <w:color w:val="0A0203"/>
                            <w:kern w:val="36"/>
                            <w:sz w:val="40"/>
                            <w:szCs w:val="40"/>
                          </w:rPr>
                          <w:t>‘Challenging’ settlement delivers 2.4% boost</w:t>
                        </w:r>
                      </w:p>
                      <w:p w14:paraId="40C233DC" w14:textId="4F54B880" w:rsidR="00EF10FB" w:rsidRPr="00EF10FB" w:rsidRDefault="00EF10FB" w:rsidP="00EF10FB">
                        <w:pPr>
                          <w:spacing w:line="450" w:lineRule="atLeast"/>
                          <w:outlineLvl w:val="0"/>
                          <w:rPr>
                            <w:rFonts w:ascii="Arial" w:eastAsia="Times New Roman" w:hAnsi="Arial" w:cs="Arial"/>
                            <w:b/>
                            <w:bCs/>
                            <w:color w:val="0A0203"/>
                            <w:kern w:val="36"/>
                            <w:sz w:val="40"/>
                            <w:szCs w:val="40"/>
                          </w:rPr>
                        </w:pPr>
                        <w:r w:rsidRPr="00EF10FB">
                          <w:rPr>
                            <w:rFonts w:ascii="Arial" w:eastAsia="Times New Roman" w:hAnsi="Arial" w:cs="Arial"/>
                            <w:b/>
                            <w:bCs/>
                            <w:color w:val="0A0203"/>
                            <w:kern w:val="36"/>
                            <w:sz w:val="40"/>
                            <w:szCs w:val="40"/>
                          </w:rPr>
                          <w:t xml:space="preserve"> </w:t>
                        </w:r>
                        <w:r w:rsidRPr="00EF10FB">
                          <w:rPr>
                            <w:rFonts w:ascii="Arial" w:eastAsia="Times New Roman" w:hAnsi="Arial" w:cs="Arial"/>
                            <w:color w:val="4C4C4C"/>
                            <w:sz w:val="40"/>
                            <w:szCs w:val="40"/>
                          </w:rPr>
                          <w:t xml:space="preserve"> </w:t>
                        </w:r>
                      </w:p>
                      <w:p w14:paraId="754C4A4C" w14:textId="77777777" w:rsidR="00EF10FB" w:rsidRDefault="00EF10FB" w:rsidP="00EF10FB">
                        <w:pPr>
                          <w:spacing w:after="120" w:line="348" w:lineRule="atLeast"/>
                          <w:jc w:val="both"/>
                          <w:rPr>
                            <w:rFonts w:ascii="Georgia" w:eastAsia="Times New Roman" w:hAnsi="Georgia" w:cs="Arial"/>
                            <w:b/>
                            <w:sz w:val="27"/>
                            <w:szCs w:val="27"/>
                          </w:rPr>
                        </w:pPr>
                        <w:r>
                          <w:rPr>
                            <w:rFonts w:ascii="Georgia" w:eastAsia="Times New Roman" w:hAnsi="Georgia" w:cs="Arial"/>
                            <w:b/>
                            <w:sz w:val="27"/>
                            <w:szCs w:val="27"/>
                          </w:rPr>
                          <w:t xml:space="preserve">Councils’ spending power will rise to £46.4bn next year, a real-terms increase, local government secretary James Brokenshire revealed as he published the provisional settlement today. </w:t>
                        </w:r>
                        <w:r>
                          <w:rPr>
                            <w:rFonts w:ascii="Georgia" w:eastAsia="Times New Roman" w:hAnsi="Georgia" w:cs="Arial"/>
                            <w:b/>
                          </w:rPr>
                          <w:t>13.12.18</w:t>
                        </w:r>
                      </w:p>
                      <w:p w14:paraId="0ACB3B7A" w14:textId="77777777" w:rsidR="00EF10FB" w:rsidRDefault="00EF10FB" w:rsidP="00EF10FB">
                        <w:pPr>
                          <w:spacing w:after="120" w:line="348" w:lineRule="atLeast"/>
                          <w:jc w:val="both"/>
                          <w:rPr>
                            <w:rFonts w:ascii="Arial" w:eastAsia="Times New Roman" w:hAnsi="Arial" w:cs="Arial"/>
                            <w:b/>
                            <w:sz w:val="16"/>
                            <w:szCs w:val="16"/>
                          </w:rPr>
                        </w:pPr>
                        <w:r>
                          <w:rPr>
                            <w:rFonts w:ascii="Arial" w:eastAsia="Times New Roman" w:hAnsi="Arial" w:cs="Arial"/>
                            <w:b/>
                            <w:sz w:val="16"/>
                            <w:szCs w:val="16"/>
                          </w:rPr>
                          <w:t xml:space="preserve">The statement – </w:t>
                        </w:r>
                        <w:hyperlink r:id="rId8" w:tgtFrame="_blank" w:history="1">
                          <w:r>
                            <w:rPr>
                              <w:rStyle w:val="Hyperlink"/>
                              <w:rFonts w:ascii="Arial" w:eastAsia="Times New Roman" w:hAnsi="Arial" w:cs="Arial"/>
                              <w:b/>
                              <w:sz w:val="16"/>
                              <w:szCs w:val="16"/>
                            </w:rPr>
                            <w:t>postponed by a week to accommodate parliamentary Brexit debates</w:t>
                          </w:r>
                        </w:hyperlink>
                        <w:r>
                          <w:rPr>
                            <w:rFonts w:ascii="Arial" w:eastAsia="Times New Roman" w:hAnsi="Arial" w:cs="Arial"/>
                            <w:b/>
                            <w:sz w:val="16"/>
                            <w:szCs w:val="16"/>
                          </w:rPr>
                          <w:t xml:space="preserve"> </w:t>
                        </w:r>
                        <w:r>
                          <w:rPr>
                            <w:rFonts w:ascii="Arial" w:eastAsia="Times New Roman" w:hAnsi="Arial" w:cs="Arial"/>
                            <w:b/>
                            <w:sz w:val="16"/>
                            <w:szCs w:val="16"/>
                          </w:rPr>
                          <w:softHyphen/>
                          <w:t>– set out a 2.8% cash increase for local government. “It has been challenging,” Brokenshire told MPs. “I am in no doubt about how challenging it has been for councils to drive efficiencies as they contributed to helping rebuild our economy and tackling the deficit.”</w:t>
                        </w:r>
                      </w:p>
                      <w:p w14:paraId="31B56028" w14:textId="77777777" w:rsidR="00EF10FB" w:rsidRDefault="00EF10FB" w:rsidP="00EF10FB">
                        <w:pPr>
                          <w:spacing w:after="120" w:line="348" w:lineRule="atLeast"/>
                          <w:jc w:val="both"/>
                          <w:rPr>
                            <w:rFonts w:ascii="Arial" w:eastAsia="Times New Roman" w:hAnsi="Arial" w:cs="Arial"/>
                            <w:b/>
                            <w:sz w:val="16"/>
                            <w:szCs w:val="16"/>
                          </w:rPr>
                        </w:pPr>
                        <w:r>
                          <w:rPr>
                            <w:rFonts w:ascii="Arial" w:eastAsia="Times New Roman" w:hAnsi="Arial" w:cs="Arial"/>
                            <w:b/>
                            <w:sz w:val="16"/>
                            <w:szCs w:val="16"/>
                          </w:rPr>
                          <w:t xml:space="preserve">Of the additional </w:t>
                        </w:r>
                        <w:hyperlink r:id="rId9" w:tgtFrame="_blank" w:history="1">
                          <w:r>
                            <w:rPr>
                              <w:rStyle w:val="Hyperlink"/>
                              <w:rFonts w:ascii="Arial" w:eastAsia="Times New Roman" w:hAnsi="Arial" w:cs="Arial"/>
                              <w:b/>
                              <w:sz w:val="16"/>
                              <w:szCs w:val="16"/>
                            </w:rPr>
                            <w:t>£650m announced for social care in the autumn Budget</w:t>
                          </w:r>
                        </w:hyperlink>
                        <w:r>
                          <w:rPr>
                            <w:rFonts w:ascii="Arial" w:eastAsia="Times New Roman" w:hAnsi="Arial" w:cs="Arial"/>
                            <w:b/>
                            <w:sz w:val="16"/>
                            <w:szCs w:val="16"/>
                          </w:rPr>
                          <w:t>, Brokenshire said £240m would be focused on winter pressures with the remainder to be used flexibly, on either adult or children’s services. Core council tax will be able rise by up to 3% again and councils will be able to draw on the adult social care precept. However, any “excessive rises” would have to be approved in a local referendum, he said.</w:t>
                        </w:r>
                      </w:p>
                      <w:p w14:paraId="1636B826" w14:textId="77777777" w:rsidR="00EF10FB" w:rsidRDefault="00EF10FB" w:rsidP="00EF10FB">
                        <w:pPr>
                          <w:spacing w:after="120" w:line="348" w:lineRule="atLeast"/>
                          <w:jc w:val="both"/>
                          <w:rPr>
                            <w:rFonts w:ascii="Arial" w:eastAsia="Times New Roman" w:hAnsi="Arial" w:cs="Arial"/>
                            <w:b/>
                            <w:sz w:val="16"/>
                            <w:szCs w:val="16"/>
                          </w:rPr>
                        </w:pPr>
                        <w:r>
                          <w:rPr>
                            <w:rFonts w:ascii="Arial" w:eastAsia="Times New Roman" w:hAnsi="Arial" w:cs="Arial"/>
                            <w:b/>
                            <w:sz w:val="16"/>
                            <w:szCs w:val="16"/>
                          </w:rPr>
                          <w:t>The local government secretary also announced a £16m increase to the rural services grant to maintain funding at last year’s level and recognise the additional costs of providing services in rural communities. And, £20m was committed to maintain the new homes bonus baseline at 0.4% “to ensure we reward councils for delivering the homes we need”.</w:t>
                        </w:r>
                      </w:p>
                      <w:p w14:paraId="4C434692" w14:textId="77777777" w:rsidR="00EF10FB" w:rsidRDefault="00EF10FB" w:rsidP="00EF10FB">
                        <w:pPr>
                          <w:spacing w:after="120" w:line="348" w:lineRule="atLeast"/>
                          <w:jc w:val="both"/>
                          <w:rPr>
                            <w:rFonts w:ascii="Arial" w:eastAsia="Times New Roman" w:hAnsi="Arial" w:cs="Arial"/>
                            <w:b/>
                            <w:sz w:val="16"/>
                            <w:szCs w:val="16"/>
                          </w:rPr>
                        </w:pPr>
                        <w:r>
                          <w:rPr>
                            <w:rFonts w:ascii="Arial" w:eastAsia="Times New Roman" w:hAnsi="Arial" w:cs="Arial"/>
                            <w:b/>
                            <w:sz w:val="16"/>
                            <w:szCs w:val="16"/>
                          </w:rPr>
                          <w:t>Brokenshire announced his decision on how to treat ‘negative revenue support grant’ following consultations. “I am pleased to announce that we intend to directly eliminate the £152.9m negative RSG in 2019-20 using forgone business rates. This will prevent any local authority being subject to downward adjustment to their business rates tariffs and top ups that could act as a disincentive to growth.”</w:t>
                        </w:r>
                      </w:p>
                      <w:p w14:paraId="4BF734CB" w14:textId="77777777" w:rsidR="00EF10FB" w:rsidRDefault="00EF10FB" w:rsidP="00EF10FB">
                        <w:pPr>
                          <w:spacing w:after="120" w:line="348" w:lineRule="atLeast"/>
                          <w:jc w:val="both"/>
                          <w:rPr>
                            <w:rFonts w:ascii="Arial" w:eastAsia="Times New Roman" w:hAnsi="Arial" w:cs="Arial"/>
                            <w:b/>
                            <w:sz w:val="16"/>
                            <w:szCs w:val="16"/>
                          </w:rPr>
                        </w:pPr>
                        <w:r>
                          <w:rPr>
                            <w:rFonts w:ascii="Arial" w:eastAsia="Times New Roman" w:hAnsi="Arial" w:cs="Arial"/>
                            <w:b/>
                            <w:sz w:val="16"/>
                            <w:szCs w:val="16"/>
                          </w:rPr>
                          <w:t xml:space="preserve">A further 15 councils, mainly counties, will take part in the 75% business rates retention pilots. These included troubled </w:t>
                        </w:r>
                        <w:hyperlink r:id="rId10" w:tgtFrame="_blank" w:history="1">
                          <w:r>
                            <w:rPr>
                              <w:rStyle w:val="Hyperlink"/>
                              <w:rFonts w:ascii="Arial" w:eastAsia="Times New Roman" w:hAnsi="Arial" w:cs="Arial"/>
                              <w:b/>
                              <w:sz w:val="16"/>
                              <w:szCs w:val="16"/>
                            </w:rPr>
                            <w:t>Northamptonshire County Council</w:t>
                          </w:r>
                        </w:hyperlink>
                        <w:r>
                          <w:rPr>
                            <w:rFonts w:ascii="Arial" w:eastAsia="Times New Roman" w:hAnsi="Arial" w:cs="Arial"/>
                            <w:b/>
                            <w:sz w:val="16"/>
                            <w:szCs w:val="16"/>
                          </w:rPr>
                          <w:t>. Increased growth in business rates income has generated a surplus business rates levy account in 2018-19 and Brokenshire said: “We are proposing to distribute £180m of levy surplus to all councils based on need.”</w:t>
                        </w:r>
                      </w:p>
                      <w:p w14:paraId="65B11CD8" w14:textId="77777777" w:rsidR="00EF10FB" w:rsidRDefault="00EF10FB" w:rsidP="00EF10FB">
                        <w:pPr>
                          <w:spacing w:after="120" w:line="348" w:lineRule="atLeast"/>
                          <w:jc w:val="both"/>
                          <w:rPr>
                            <w:rFonts w:ascii="Arial" w:eastAsia="Times New Roman" w:hAnsi="Arial" w:cs="Arial"/>
                            <w:b/>
                            <w:sz w:val="16"/>
                            <w:szCs w:val="16"/>
                          </w:rPr>
                        </w:pPr>
                        <w:r>
                          <w:rPr>
                            <w:rFonts w:ascii="Arial" w:eastAsia="Times New Roman" w:hAnsi="Arial" w:cs="Arial"/>
                            <w:b/>
                            <w:sz w:val="16"/>
                            <w:szCs w:val="16"/>
                          </w:rPr>
                          <w:t xml:space="preserve">The secretary of state also highlighted the </w:t>
                        </w:r>
                        <w:hyperlink r:id="rId11" w:tgtFrame="_blank" w:history="1">
                          <w:r>
                            <w:rPr>
                              <w:rStyle w:val="Hyperlink"/>
                              <w:rFonts w:ascii="Arial" w:eastAsia="Times New Roman" w:hAnsi="Arial" w:cs="Arial"/>
                              <w:b/>
                              <w:sz w:val="16"/>
                              <w:szCs w:val="16"/>
                            </w:rPr>
                            <w:t>issues around councils’ commercial activities</w:t>
                          </w:r>
                        </w:hyperlink>
                        <w:r>
                          <w:rPr>
                            <w:rFonts w:ascii="Arial" w:eastAsia="Times New Roman" w:hAnsi="Arial" w:cs="Arial"/>
                            <w:b/>
                            <w:sz w:val="16"/>
                            <w:szCs w:val="16"/>
                          </w:rPr>
                          <w:t xml:space="preserve">. “I share the concerns of CIPFA and others about the risks that these local authorities are exposing themselves and taxpayers to. We are considering with [the] Treasury what further intervention may be required.” In October, CIPFA said it would publish </w:t>
                        </w:r>
                        <w:hyperlink r:id="rId12" w:history="1">
                          <w:r>
                            <w:rPr>
                              <w:rStyle w:val="Hyperlink"/>
                              <w:rFonts w:ascii="Arial" w:eastAsia="Times New Roman" w:hAnsi="Arial" w:cs="Arial"/>
                              <w:b/>
                              <w:sz w:val="16"/>
                              <w:szCs w:val="16"/>
                            </w:rPr>
                            <w:t>fresh guidance on borrowing to invest in commercial property.</w:t>
                          </w:r>
                        </w:hyperlink>
                      </w:p>
                      <w:p w14:paraId="3B35E12C" w14:textId="513C5F28" w:rsidR="00A3660A" w:rsidRPr="00EF10FB" w:rsidRDefault="00EF10FB" w:rsidP="00EF10FB">
                        <w:pPr>
                          <w:spacing w:after="120" w:line="348" w:lineRule="atLeast"/>
                          <w:jc w:val="both"/>
                          <w:rPr>
                            <w:rFonts w:ascii="Arial" w:eastAsia="Times New Roman" w:hAnsi="Arial" w:cs="Arial"/>
                            <w:b/>
                            <w:sz w:val="16"/>
                            <w:szCs w:val="16"/>
                          </w:rPr>
                        </w:pPr>
                        <w:r>
                          <w:rPr>
                            <w:rFonts w:ascii="Arial" w:eastAsia="Times New Roman" w:hAnsi="Arial" w:cs="Arial"/>
                            <w:b/>
                            <w:sz w:val="16"/>
                            <w:szCs w:val="16"/>
                          </w:rPr>
                          <w:t xml:space="preserve">Two further MHCLG consultations were also announced: one on reforms to the business rate retention system and another on </w:t>
                        </w:r>
                        <w:hyperlink r:id="rId13" w:tgtFrame="_blank" w:history="1">
                          <w:r>
                            <w:rPr>
                              <w:rStyle w:val="Hyperlink"/>
                              <w:rFonts w:ascii="Arial" w:eastAsia="Times New Roman" w:hAnsi="Arial" w:cs="Arial"/>
                              <w:b/>
                              <w:sz w:val="16"/>
                              <w:szCs w:val="16"/>
                            </w:rPr>
                            <w:t>distributing funding through the Review of Relative Needs and Resource.</w:t>
                          </w:r>
                        </w:hyperlink>
                        <w:r>
                          <w:rPr>
                            <w:rFonts w:ascii="Arial" w:eastAsia="Times New Roman" w:hAnsi="Arial" w:cs="Arial"/>
                            <w:b/>
                            <w:sz w:val="16"/>
                            <w:szCs w:val="16"/>
                          </w:rPr>
                          <w:t xml:space="preserve"> “There is little doubt that the current funding formula needs fixing – and replacing with a robust straightforward approach where the link between local circumstances and resources allocated is clear. 2019 was shaping up to be a ‘big moment’ for local government”</w:t>
                        </w:r>
                        <w:r w:rsidR="00386B42">
                          <w:rPr>
                            <w:rFonts w:ascii="Arial" w:eastAsia="Times New Roman" w:hAnsi="Arial" w:cs="Arial"/>
                            <w:b/>
                            <w:sz w:val="16"/>
                            <w:szCs w:val="16"/>
                          </w:rPr>
                          <w:t>.</w:t>
                        </w:r>
                      </w:p>
                    </w:tc>
                  </w:tr>
                </w:tbl>
                <w:p w14:paraId="73DDEF51" w14:textId="77777777" w:rsidR="00A3660A" w:rsidRDefault="00A3660A">
                  <w:pPr>
                    <w:rPr>
                      <w:rFonts w:ascii="Times New Roman" w:eastAsia="Times New Roman" w:hAnsi="Times New Roman" w:cs="Times New Roman"/>
                      <w:sz w:val="20"/>
                      <w:szCs w:val="20"/>
                    </w:rPr>
                  </w:pPr>
                </w:p>
              </w:tc>
            </w:tr>
          </w:tbl>
          <w:p w14:paraId="5268AD72" w14:textId="77777777" w:rsidR="00A3660A" w:rsidRDefault="00A3660A">
            <w:pPr>
              <w:jc w:val="center"/>
              <w:rPr>
                <w:rFonts w:ascii="Times New Roman" w:eastAsia="Times New Roman" w:hAnsi="Times New Roman" w:cs="Times New Roman"/>
                <w:sz w:val="20"/>
                <w:szCs w:val="20"/>
              </w:rPr>
            </w:pPr>
            <w:bookmarkStart w:id="0" w:name="_GoBack"/>
            <w:bookmarkEnd w:id="0"/>
          </w:p>
        </w:tc>
      </w:tr>
    </w:tbl>
    <w:p w14:paraId="73CF6900" w14:textId="77777777" w:rsidR="00B452D1" w:rsidRDefault="00B452D1" w:rsidP="00EF10FB"/>
    <w:sectPr w:rsidR="00B452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60A"/>
    <w:rsid w:val="00386B42"/>
    <w:rsid w:val="005F38AD"/>
    <w:rsid w:val="00A3660A"/>
    <w:rsid w:val="00AD64B4"/>
    <w:rsid w:val="00B452D1"/>
    <w:rsid w:val="00EF1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2EB7"/>
  <w15:chartTrackingRefBased/>
  <w15:docId w15:val="{13C800E6-A309-4142-A67F-A21956E5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60A"/>
    <w:pPr>
      <w:spacing w:after="0" w:line="240" w:lineRule="auto"/>
    </w:pPr>
    <w:rPr>
      <w:rFonts w:ascii="Calibri" w:hAnsi="Calibri" w:cs="Calibri"/>
      <w:lang w:eastAsia="en-GB"/>
    </w:rPr>
  </w:style>
  <w:style w:type="paragraph" w:styleId="Heading1">
    <w:name w:val="heading 1"/>
    <w:basedOn w:val="Normal"/>
    <w:link w:val="Heading1Char"/>
    <w:uiPriority w:val="9"/>
    <w:qFormat/>
    <w:rsid w:val="00A3660A"/>
    <w:pPr>
      <w:spacing w:line="360" w:lineRule="auto"/>
      <w:jc w:val="center"/>
      <w:outlineLvl w:val="0"/>
    </w:pPr>
    <w:rPr>
      <w:rFonts w:ascii="Helvetica" w:hAnsi="Helvetica" w:cs="Helvetica"/>
      <w:b/>
      <w:bCs/>
      <w:color w:val="222222"/>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60A"/>
    <w:rPr>
      <w:rFonts w:ascii="Helvetica" w:hAnsi="Helvetica" w:cs="Helvetica"/>
      <w:b/>
      <w:bCs/>
      <w:color w:val="222222"/>
      <w:kern w:val="36"/>
      <w:sz w:val="60"/>
      <w:szCs w:val="60"/>
      <w:lang w:eastAsia="en-GB"/>
    </w:rPr>
  </w:style>
  <w:style w:type="character" w:styleId="Strong">
    <w:name w:val="Strong"/>
    <w:basedOn w:val="DefaultParagraphFont"/>
    <w:uiPriority w:val="22"/>
    <w:qFormat/>
    <w:rsid w:val="00A3660A"/>
    <w:rPr>
      <w:b/>
      <w:bCs/>
    </w:rPr>
  </w:style>
  <w:style w:type="character" w:styleId="Hyperlink">
    <w:name w:val="Hyperlink"/>
    <w:basedOn w:val="DefaultParagraphFont"/>
    <w:uiPriority w:val="99"/>
    <w:semiHidden/>
    <w:unhideWhenUsed/>
    <w:rsid w:val="00A366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10509">
      <w:bodyDiv w:val="1"/>
      <w:marLeft w:val="0"/>
      <w:marRight w:val="0"/>
      <w:marTop w:val="0"/>
      <w:marBottom w:val="0"/>
      <w:divBdr>
        <w:top w:val="none" w:sz="0" w:space="0" w:color="auto"/>
        <w:left w:val="none" w:sz="0" w:space="0" w:color="auto"/>
        <w:bottom w:val="none" w:sz="0" w:space="0" w:color="auto"/>
        <w:right w:val="none" w:sz="0" w:space="0" w:color="auto"/>
      </w:divBdr>
    </w:div>
    <w:div w:id="5129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finance.co.uk/news/2018/12/challenging-settlement-delivers-24-boost-local-government" TargetMode="External"/><Relationship Id="rId13" Type="http://schemas.openxmlformats.org/officeDocument/2006/relationships/hyperlink" Target="https://www.publicfinance.co.uk/feature/2018/10/cutting-edge-views-considering-fair-funding-review"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www.publicfinance.co.uk/news/2018/10/cipfa-warns-councils-over-serious-commercial-activity-concer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lc.us12.list-manage.com/track/click?u=16886b5d6c31eade2f9a50027&amp;id=46d0df2b5b&amp;e=4cd4a9ac5f" TargetMode="External"/><Relationship Id="rId11" Type="http://schemas.openxmlformats.org/officeDocument/2006/relationships/hyperlink" Target="https://www.publicfinance.co.uk/feature/2018/11/eyes-money-councils-turning-commercialism" TargetMode="External"/><Relationship Id="rId5" Type="http://schemas.openxmlformats.org/officeDocument/2006/relationships/hyperlink" Target="https://nalc.us12.list-manage.com/track/click?u=16886b5d6c31eade2f9a50027&amp;id=dc448ff943&amp;e=4cd4a9ac5f" TargetMode="External"/><Relationship Id="rId15" Type="http://schemas.openxmlformats.org/officeDocument/2006/relationships/theme" Target="theme/theme1.xml"/><Relationship Id="rId10" Type="http://schemas.openxmlformats.org/officeDocument/2006/relationships/hyperlink" Target="https://www.publicfinance.co.uk/news/2018/12/northants-budgets-sets-out-savings-plans-and-council-tax-rise1" TargetMode="External"/><Relationship Id="rId4" Type="http://schemas.openxmlformats.org/officeDocument/2006/relationships/image" Target="https://gallery.mailchimp.com/16886b5d6c31eade2f9a50027/images/9021b0a5-32c0-4600-bec0-b854e35ad587.png" TargetMode="External"/><Relationship Id="rId9" Type="http://schemas.openxmlformats.org/officeDocument/2006/relationships/hyperlink" Target="https://www.publicfinance.co.uk/news/2018/10/hammond-hands-out-billions-saying-austerity-ending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810</Words>
  <Characters>4618</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Flexman</dc:creator>
  <cp:keywords/>
  <dc:description/>
  <cp:lastModifiedBy>Graham Flexman</cp:lastModifiedBy>
  <cp:revision>5</cp:revision>
  <dcterms:created xsi:type="dcterms:W3CDTF">2019-01-02T10:17:00Z</dcterms:created>
  <dcterms:modified xsi:type="dcterms:W3CDTF">2019-01-02T12:35:00Z</dcterms:modified>
</cp:coreProperties>
</file>